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44"/>
          <w:szCs w:val="44"/>
          <w:lang w:val="en-US" w:eastAsia="zh-CN" w:bidi="ar-SA"/>
        </w:rPr>
        <w:id w:val="195142224"/>
        <w:docPartObj>
          <w:docPartGallery w:val="Table of Contents"/>
          <w:docPartUnique/>
        </w:docPartObj>
      </w:sdtPr>
      <w:sdtEndPr>
        <w:rPr>
          <w:rFonts w:ascii="宋体" w:hAnsi="宋体" w:eastAsia="宋体" w:cstheme="minorBidi"/>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sz w:val="44"/>
              <w:szCs w:val="44"/>
            </w:rPr>
          </w:pPr>
          <w:bookmarkStart w:id="0" w:name="_Toc1495704683_WPSOffice_Type1"/>
          <w:r>
            <w:rPr>
              <w:rFonts w:ascii="宋体" w:hAnsi="宋体" w:eastAsia="宋体"/>
              <w:b/>
              <w:bCs/>
              <w:sz w:val="44"/>
              <w:szCs w:val="44"/>
            </w:rPr>
            <w:t>目录</w:t>
          </w:r>
        </w:p>
        <w:p>
          <w:pPr>
            <w:pStyle w:val="11"/>
            <w:tabs>
              <w:tab w:val="right" w:leader="dot" w:pos="8845"/>
            </w:tabs>
            <w:rPr>
              <w:rFonts w:hint="eastAsia" w:ascii="CESI黑体-GB13000" w:hAnsi="CESI黑体-GB13000" w:eastAsia="CESI黑体-GB13000" w:cs="CESI黑体-GB13000"/>
              <w:sz w:val="28"/>
              <w:szCs w:val="28"/>
            </w:rPr>
          </w:pPr>
        </w:p>
        <w:p>
          <w:pPr>
            <w:pStyle w:val="11"/>
            <w:tabs>
              <w:tab w:val="right" w:leader="dot" w:pos="8845"/>
            </w:tabs>
            <w:rPr>
              <w:rFonts w:hint="eastAsia" w:ascii="CESI黑体-GB13000" w:hAnsi="CESI黑体-GB13000" w:eastAsia="CESI黑体-GB13000" w:cs="CESI黑体-GB13000"/>
              <w:sz w:val="28"/>
              <w:szCs w:val="28"/>
            </w:rPr>
          </w:pPr>
          <w:r>
            <w:rPr>
              <w:rFonts w:hint="eastAsia" w:ascii="CESI黑体-GB13000" w:hAnsi="CESI黑体-GB13000" w:eastAsia="CESI黑体-GB13000" w:cs="CESI黑体-GB13000"/>
              <w:sz w:val="28"/>
              <w:szCs w:val="28"/>
            </w:rPr>
            <w:fldChar w:fldCharType="begin"/>
          </w:r>
          <w:r>
            <w:rPr>
              <w:rFonts w:hint="eastAsia" w:ascii="CESI黑体-GB13000" w:hAnsi="CESI黑体-GB13000" w:eastAsia="CESI黑体-GB13000" w:cs="CESI黑体-GB13000"/>
              <w:sz w:val="28"/>
              <w:szCs w:val="28"/>
            </w:rPr>
            <w:instrText xml:space="preserve"> HYPERLINK \l _Toc1495704683_WPSOffice_Level1 </w:instrText>
          </w:r>
          <w:r>
            <w:rPr>
              <w:rFonts w:hint="eastAsia" w:ascii="CESI黑体-GB13000" w:hAnsi="CESI黑体-GB13000" w:eastAsia="CESI黑体-GB13000" w:cs="CESI黑体-GB13000"/>
              <w:sz w:val="28"/>
              <w:szCs w:val="28"/>
            </w:rPr>
            <w:fldChar w:fldCharType="separate"/>
          </w:r>
          <w:sdt>
            <w:sdtPr>
              <w:rPr>
                <w:rFonts w:hint="eastAsia" w:ascii="CESI黑体-GB13000" w:hAnsi="CESI黑体-GB13000" w:eastAsia="CESI黑体-GB13000" w:cs="CESI黑体-GB13000"/>
                <w:kern w:val="2"/>
                <w:sz w:val="28"/>
                <w:szCs w:val="28"/>
                <w:lang w:val="en-US" w:eastAsia="zh-CN" w:bidi="ar-SA"/>
              </w:rPr>
              <w:id w:val="195142224"/>
              <w:placeholder>
                <w:docPart w:val="{137eba35-7e1d-4544-960e-79ba30b4ce20}"/>
              </w:placeholder>
            </w:sdtPr>
            <w:sdtEndPr>
              <w:rPr>
                <w:rFonts w:hint="eastAsia" w:ascii="CESI黑体-GB13000" w:hAnsi="CESI黑体-GB13000" w:eastAsia="CESI黑体-GB13000" w:cs="CESI黑体-GB13000"/>
                <w:kern w:val="2"/>
                <w:sz w:val="28"/>
                <w:szCs w:val="28"/>
                <w:lang w:val="en-US" w:eastAsia="zh-CN" w:bidi="ar-SA"/>
              </w:rPr>
            </w:sdtEndPr>
            <w:sdtContent>
              <w:r>
                <w:rPr>
                  <w:rFonts w:hint="eastAsia" w:ascii="CESI黑体-GB13000" w:hAnsi="CESI黑体-GB13000" w:eastAsia="CESI黑体-GB13000" w:cs="CESI黑体-GB13000"/>
                  <w:sz w:val="28"/>
                  <w:szCs w:val="28"/>
                </w:rPr>
                <w:t>一、引言</w:t>
              </w:r>
            </w:sdtContent>
          </w:sdt>
          <w:r>
            <w:rPr>
              <w:rFonts w:hint="eastAsia" w:ascii="CESI黑体-GB13000" w:hAnsi="CESI黑体-GB13000" w:eastAsia="CESI黑体-GB13000" w:cs="CESI黑体-GB13000"/>
              <w:sz w:val="28"/>
              <w:szCs w:val="28"/>
            </w:rPr>
            <w:tab/>
          </w:r>
          <w:bookmarkStart w:id="1" w:name="_Toc1495704683_WPSOffice_Level1Page"/>
          <w:r>
            <w:rPr>
              <w:rFonts w:hint="eastAsia" w:ascii="CESI黑体-GB13000" w:hAnsi="CESI黑体-GB13000" w:eastAsia="CESI黑体-GB13000" w:cs="CESI黑体-GB13000"/>
              <w:sz w:val="28"/>
              <w:szCs w:val="28"/>
            </w:rPr>
            <w:t>2</w:t>
          </w:r>
          <w:bookmarkEnd w:id="1"/>
          <w:r>
            <w:rPr>
              <w:rFonts w:hint="eastAsia" w:ascii="CESI黑体-GB13000" w:hAnsi="CESI黑体-GB13000" w:eastAsia="CESI黑体-GB13000" w:cs="CESI黑体-GB13000"/>
              <w:sz w:val="28"/>
              <w:szCs w:val="28"/>
            </w:rPr>
            <w:fldChar w:fldCharType="end"/>
          </w:r>
        </w:p>
        <w:p>
          <w:pPr>
            <w:pStyle w:val="11"/>
            <w:tabs>
              <w:tab w:val="right" w:leader="dot" w:pos="8845"/>
            </w:tabs>
            <w:rPr>
              <w:rFonts w:hint="eastAsia" w:ascii="CESI黑体-GB13000" w:hAnsi="CESI黑体-GB13000" w:eastAsia="CESI黑体-GB13000" w:cs="CESI黑体-GB13000"/>
              <w:sz w:val="28"/>
              <w:szCs w:val="28"/>
            </w:rPr>
          </w:pPr>
          <w:r>
            <w:rPr>
              <w:rFonts w:hint="eastAsia" w:ascii="CESI黑体-GB13000" w:hAnsi="CESI黑体-GB13000" w:eastAsia="CESI黑体-GB13000" w:cs="CESI黑体-GB13000"/>
              <w:sz w:val="28"/>
              <w:szCs w:val="28"/>
            </w:rPr>
            <w:fldChar w:fldCharType="begin"/>
          </w:r>
          <w:r>
            <w:rPr>
              <w:rFonts w:hint="eastAsia" w:ascii="CESI黑体-GB13000" w:hAnsi="CESI黑体-GB13000" w:eastAsia="CESI黑体-GB13000" w:cs="CESI黑体-GB13000"/>
              <w:sz w:val="28"/>
              <w:szCs w:val="28"/>
            </w:rPr>
            <w:instrText xml:space="preserve"> HYPERLINK \l _Toc818042881_WPSOffice_Level1 </w:instrText>
          </w:r>
          <w:r>
            <w:rPr>
              <w:rFonts w:hint="eastAsia" w:ascii="CESI黑体-GB13000" w:hAnsi="CESI黑体-GB13000" w:eastAsia="CESI黑体-GB13000" w:cs="CESI黑体-GB13000"/>
              <w:sz w:val="28"/>
              <w:szCs w:val="28"/>
            </w:rPr>
            <w:fldChar w:fldCharType="separate"/>
          </w:r>
          <w:sdt>
            <w:sdtPr>
              <w:rPr>
                <w:rFonts w:hint="eastAsia" w:ascii="CESI黑体-GB13000" w:hAnsi="CESI黑体-GB13000" w:eastAsia="CESI黑体-GB13000" w:cs="CESI黑体-GB13000"/>
                <w:kern w:val="2"/>
                <w:sz w:val="28"/>
                <w:szCs w:val="28"/>
                <w:lang w:val="en-US" w:eastAsia="zh-CN" w:bidi="ar-SA"/>
              </w:rPr>
              <w:id w:val="195142224"/>
              <w:placeholder>
                <w:docPart w:val="{c737e473-8f3e-41fb-a217-b0b130d04eb2}"/>
              </w:placeholder>
            </w:sdtPr>
            <w:sdtEndPr>
              <w:rPr>
                <w:rFonts w:hint="eastAsia" w:ascii="CESI黑体-GB13000" w:hAnsi="CESI黑体-GB13000" w:eastAsia="CESI黑体-GB13000" w:cs="CESI黑体-GB13000"/>
                <w:kern w:val="2"/>
                <w:sz w:val="28"/>
                <w:szCs w:val="28"/>
                <w:lang w:val="en-US" w:eastAsia="zh-CN" w:bidi="ar-SA"/>
              </w:rPr>
            </w:sdtEndPr>
            <w:sdtContent>
              <w:r>
                <w:rPr>
                  <w:rFonts w:hint="eastAsia" w:ascii="CESI黑体-GB13000" w:hAnsi="CESI黑体-GB13000" w:eastAsia="CESI黑体-GB13000" w:cs="CESI黑体-GB13000"/>
                  <w:sz w:val="28"/>
                  <w:szCs w:val="28"/>
                </w:rPr>
                <w:t>二、文献综述</w:t>
              </w:r>
            </w:sdtContent>
          </w:sdt>
          <w:r>
            <w:rPr>
              <w:rFonts w:hint="eastAsia" w:ascii="CESI黑体-GB13000" w:hAnsi="CESI黑体-GB13000" w:eastAsia="CESI黑体-GB13000" w:cs="CESI黑体-GB13000"/>
              <w:sz w:val="28"/>
              <w:szCs w:val="28"/>
            </w:rPr>
            <w:tab/>
          </w:r>
          <w:bookmarkStart w:id="2" w:name="_Toc818042881_WPSOffice_Level1Page"/>
          <w:r>
            <w:rPr>
              <w:rFonts w:hint="eastAsia" w:ascii="CESI黑体-GB13000" w:hAnsi="CESI黑体-GB13000" w:eastAsia="CESI黑体-GB13000" w:cs="CESI黑体-GB13000"/>
              <w:sz w:val="28"/>
              <w:szCs w:val="28"/>
            </w:rPr>
            <w:t>3</w:t>
          </w:r>
          <w:bookmarkEnd w:id="2"/>
          <w:r>
            <w:rPr>
              <w:rFonts w:hint="eastAsia" w:ascii="CESI黑体-GB13000" w:hAnsi="CESI黑体-GB13000" w:eastAsia="CESI黑体-GB13000" w:cs="CESI黑体-GB13000"/>
              <w:sz w:val="28"/>
              <w:szCs w:val="28"/>
            </w:rPr>
            <w:fldChar w:fldCharType="end"/>
          </w:r>
        </w:p>
        <w:p>
          <w:pPr>
            <w:pStyle w:val="11"/>
            <w:tabs>
              <w:tab w:val="right" w:leader="dot" w:pos="8845"/>
            </w:tabs>
            <w:rPr>
              <w:rFonts w:hint="eastAsia" w:ascii="CESI黑体-GB13000" w:hAnsi="CESI黑体-GB13000" w:eastAsia="CESI黑体-GB13000" w:cs="CESI黑体-GB13000"/>
              <w:sz w:val="28"/>
              <w:szCs w:val="28"/>
            </w:rPr>
          </w:pPr>
          <w:r>
            <w:rPr>
              <w:rFonts w:hint="eastAsia" w:ascii="CESI黑体-GB13000" w:hAnsi="CESI黑体-GB13000" w:eastAsia="CESI黑体-GB13000" w:cs="CESI黑体-GB13000"/>
              <w:sz w:val="28"/>
              <w:szCs w:val="28"/>
            </w:rPr>
            <w:fldChar w:fldCharType="begin"/>
          </w:r>
          <w:r>
            <w:rPr>
              <w:rFonts w:hint="eastAsia" w:ascii="CESI黑体-GB13000" w:hAnsi="CESI黑体-GB13000" w:eastAsia="CESI黑体-GB13000" w:cs="CESI黑体-GB13000"/>
              <w:sz w:val="28"/>
              <w:szCs w:val="28"/>
            </w:rPr>
            <w:instrText xml:space="preserve"> HYPERLINK \l _Toc1824473620_WPSOffice_Level1 </w:instrText>
          </w:r>
          <w:r>
            <w:rPr>
              <w:rFonts w:hint="eastAsia" w:ascii="CESI黑体-GB13000" w:hAnsi="CESI黑体-GB13000" w:eastAsia="CESI黑体-GB13000" w:cs="CESI黑体-GB13000"/>
              <w:sz w:val="28"/>
              <w:szCs w:val="28"/>
            </w:rPr>
            <w:fldChar w:fldCharType="separate"/>
          </w:r>
          <w:sdt>
            <w:sdtPr>
              <w:rPr>
                <w:rFonts w:hint="eastAsia" w:ascii="CESI黑体-GB13000" w:hAnsi="CESI黑体-GB13000" w:eastAsia="CESI黑体-GB13000" w:cs="CESI黑体-GB13000"/>
                <w:kern w:val="2"/>
                <w:sz w:val="28"/>
                <w:szCs w:val="28"/>
                <w:lang w:val="en-US" w:eastAsia="zh-CN" w:bidi="ar-SA"/>
              </w:rPr>
              <w:id w:val="195142224"/>
              <w:placeholder>
                <w:docPart w:val="{d00b4ecd-c127-4c03-a3ec-615906412a57}"/>
              </w:placeholder>
            </w:sdtPr>
            <w:sdtEndPr>
              <w:rPr>
                <w:rFonts w:hint="eastAsia" w:ascii="CESI黑体-GB13000" w:hAnsi="CESI黑体-GB13000" w:eastAsia="CESI黑体-GB13000" w:cs="CESI黑体-GB13000"/>
                <w:kern w:val="2"/>
                <w:sz w:val="28"/>
                <w:szCs w:val="28"/>
                <w:lang w:val="en-US" w:eastAsia="zh-CN" w:bidi="ar-SA"/>
              </w:rPr>
            </w:sdtEndPr>
            <w:sdtContent>
              <w:r>
                <w:rPr>
                  <w:rFonts w:hint="eastAsia" w:ascii="CESI黑体-GB13000" w:hAnsi="CESI黑体-GB13000" w:eastAsia="CESI黑体-GB13000" w:cs="CESI黑体-GB13000"/>
                  <w:sz w:val="28"/>
                  <w:szCs w:val="28"/>
                </w:rPr>
                <w:t>三、扶贫资产的形成及管理现状</w:t>
              </w:r>
            </w:sdtContent>
          </w:sdt>
          <w:r>
            <w:rPr>
              <w:rFonts w:hint="eastAsia" w:ascii="CESI黑体-GB13000" w:hAnsi="CESI黑体-GB13000" w:eastAsia="CESI黑体-GB13000" w:cs="CESI黑体-GB13000"/>
              <w:sz w:val="28"/>
              <w:szCs w:val="28"/>
            </w:rPr>
            <w:tab/>
          </w:r>
          <w:bookmarkStart w:id="3" w:name="_Toc1824473620_WPSOffice_Level1Page"/>
          <w:r>
            <w:rPr>
              <w:rFonts w:hint="eastAsia" w:ascii="CESI黑体-GB13000" w:hAnsi="CESI黑体-GB13000" w:eastAsia="CESI黑体-GB13000" w:cs="CESI黑体-GB13000"/>
              <w:sz w:val="28"/>
              <w:szCs w:val="28"/>
            </w:rPr>
            <w:t>5</w:t>
          </w:r>
          <w:bookmarkEnd w:id="3"/>
          <w:r>
            <w:rPr>
              <w:rFonts w:hint="eastAsia" w:ascii="CESI黑体-GB13000" w:hAnsi="CESI黑体-GB13000" w:eastAsia="CESI黑体-GB13000" w:cs="CESI黑体-GB13000"/>
              <w:sz w:val="28"/>
              <w:szCs w:val="28"/>
            </w:rPr>
            <w:fldChar w:fldCharType="end"/>
          </w:r>
        </w:p>
        <w:p>
          <w:pPr>
            <w:pStyle w:val="11"/>
            <w:tabs>
              <w:tab w:val="right" w:leader="dot" w:pos="8845"/>
            </w:tabs>
            <w:rPr>
              <w:rFonts w:hint="eastAsia" w:ascii="CESI黑体-GB13000" w:hAnsi="CESI黑体-GB13000" w:eastAsia="CESI黑体-GB13000" w:cs="CESI黑体-GB13000"/>
              <w:sz w:val="28"/>
              <w:szCs w:val="28"/>
            </w:rPr>
          </w:pPr>
          <w:r>
            <w:rPr>
              <w:rFonts w:hint="eastAsia" w:ascii="CESI黑体-GB13000" w:hAnsi="CESI黑体-GB13000" w:eastAsia="CESI黑体-GB13000" w:cs="CESI黑体-GB13000"/>
              <w:sz w:val="28"/>
              <w:szCs w:val="28"/>
            </w:rPr>
            <w:fldChar w:fldCharType="begin"/>
          </w:r>
          <w:r>
            <w:rPr>
              <w:rFonts w:hint="eastAsia" w:ascii="CESI黑体-GB13000" w:hAnsi="CESI黑体-GB13000" w:eastAsia="CESI黑体-GB13000" w:cs="CESI黑体-GB13000"/>
              <w:sz w:val="28"/>
              <w:szCs w:val="28"/>
            </w:rPr>
            <w:instrText xml:space="preserve"> HYPERLINK \l _Toc661925397_WPSOffice_Level1 </w:instrText>
          </w:r>
          <w:r>
            <w:rPr>
              <w:rFonts w:hint="eastAsia" w:ascii="CESI黑体-GB13000" w:hAnsi="CESI黑体-GB13000" w:eastAsia="CESI黑体-GB13000" w:cs="CESI黑体-GB13000"/>
              <w:sz w:val="28"/>
              <w:szCs w:val="28"/>
            </w:rPr>
            <w:fldChar w:fldCharType="separate"/>
          </w:r>
          <w:sdt>
            <w:sdtPr>
              <w:rPr>
                <w:rFonts w:hint="eastAsia" w:ascii="CESI黑体-GB13000" w:hAnsi="CESI黑体-GB13000" w:eastAsia="CESI黑体-GB13000" w:cs="CESI黑体-GB13000"/>
                <w:kern w:val="2"/>
                <w:sz w:val="28"/>
                <w:szCs w:val="28"/>
                <w:lang w:val="en-US" w:eastAsia="zh-CN" w:bidi="ar-SA"/>
              </w:rPr>
              <w:id w:val="195142224"/>
              <w:placeholder>
                <w:docPart w:val="{dddfe5fa-0c9d-47c2-9cf8-8330cc7b4a0b}"/>
              </w:placeholder>
            </w:sdtPr>
            <w:sdtEndPr>
              <w:rPr>
                <w:rFonts w:hint="eastAsia" w:ascii="CESI黑体-GB13000" w:hAnsi="CESI黑体-GB13000" w:eastAsia="CESI黑体-GB13000" w:cs="CESI黑体-GB13000"/>
                <w:kern w:val="2"/>
                <w:sz w:val="28"/>
                <w:szCs w:val="28"/>
                <w:lang w:val="en-US" w:eastAsia="zh-CN" w:bidi="ar-SA"/>
              </w:rPr>
            </w:sdtEndPr>
            <w:sdtContent>
              <w:r>
                <w:rPr>
                  <w:rFonts w:hint="eastAsia" w:ascii="CESI黑体-GB13000" w:hAnsi="CESI黑体-GB13000" w:eastAsia="CESI黑体-GB13000" w:cs="CESI黑体-GB13000"/>
                  <w:sz w:val="28"/>
                  <w:szCs w:val="28"/>
                </w:rPr>
                <w:t>四、开展扶贫项目资产管理的重要性</w:t>
              </w:r>
            </w:sdtContent>
          </w:sdt>
          <w:r>
            <w:rPr>
              <w:rFonts w:hint="eastAsia" w:ascii="CESI黑体-GB13000" w:hAnsi="CESI黑体-GB13000" w:eastAsia="CESI黑体-GB13000" w:cs="CESI黑体-GB13000"/>
              <w:sz w:val="28"/>
              <w:szCs w:val="28"/>
            </w:rPr>
            <w:tab/>
          </w:r>
          <w:bookmarkStart w:id="4" w:name="_Toc661925397_WPSOffice_Level1Page"/>
          <w:r>
            <w:rPr>
              <w:rFonts w:hint="eastAsia" w:ascii="CESI黑体-GB13000" w:hAnsi="CESI黑体-GB13000" w:eastAsia="CESI黑体-GB13000" w:cs="CESI黑体-GB13000"/>
              <w:sz w:val="28"/>
              <w:szCs w:val="28"/>
            </w:rPr>
            <w:t>6</w:t>
          </w:r>
          <w:bookmarkEnd w:id="4"/>
          <w:r>
            <w:rPr>
              <w:rFonts w:hint="eastAsia" w:ascii="CESI黑体-GB13000" w:hAnsi="CESI黑体-GB13000" w:eastAsia="CESI黑体-GB13000" w:cs="CESI黑体-GB13000"/>
              <w:sz w:val="28"/>
              <w:szCs w:val="28"/>
            </w:rPr>
            <w:fldChar w:fldCharType="end"/>
          </w:r>
        </w:p>
        <w:p>
          <w:pPr>
            <w:pStyle w:val="11"/>
            <w:tabs>
              <w:tab w:val="right" w:leader="dot" w:pos="8845"/>
            </w:tabs>
            <w:rPr>
              <w:rFonts w:hint="eastAsia" w:ascii="CESI黑体-GB13000" w:hAnsi="CESI黑体-GB13000" w:eastAsia="CESI黑体-GB13000" w:cs="CESI黑体-GB13000"/>
              <w:sz w:val="28"/>
              <w:szCs w:val="28"/>
            </w:rPr>
          </w:pPr>
          <w:r>
            <w:rPr>
              <w:rFonts w:hint="eastAsia" w:ascii="CESI黑体-GB13000" w:hAnsi="CESI黑体-GB13000" w:eastAsia="CESI黑体-GB13000" w:cs="CESI黑体-GB13000"/>
              <w:sz w:val="28"/>
              <w:szCs w:val="28"/>
            </w:rPr>
            <w:fldChar w:fldCharType="begin"/>
          </w:r>
          <w:r>
            <w:rPr>
              <w:rFonts w:hint="eastAsia" w:ascii="CESI黑体-GB13000" w:hAnsi="CESI黑体-GB13000" w:eastAsia="CESI黑体-GB13000" w:cs="CESI黑体-GB13000"/>
              <w:sz w:val="28"/>
              <w:szCs w:val="28"/>
            </w:rPr>
            <w:instrText xml:space="preserve"> HYPERLINK \l _Toc1460804942_WPSOffice_Level1 </w:instrText>
          </w:r>
          <w:r>
            <w:rPr>
              <w:rFonts w:hint="eastAsia" w:ascii="CESI黑体-GB13000" w:hAnsi="CESI黑体-GB13000" w:eastAsia="CESI黑体-GB13000" w:cs="CESI黑体-GB13000"/>
              <w:sz w:val="28"/>
              <w:szCs w:val="28"/>
            </w:rPr>
            <w:fldChar w:fldCharType="separate"/>
          </w:r>
          <w:sdt>
            <w:sdtPr>
              <w:rPr>
                <w:rFonts w:hint="eastAsia" w:ascii="CESI黑体-GB13000" w:hAnsi="CESI黑体-GB13000" w:eastAsia="CESI黑体-GB13000" w:cs="CESI黑体-GB13000"/>
                <w:kern w:val="2"/>
                <w:sz w:val="28"/>
                <w:szCs w:val="28"/>
                <w:lang w:val="en-US" w:eastAsia="zh-CN" w:bidi="ar-SA"/>
              </w:rPr>
              <w:id w:val="195142224"/>
              <w:placeholder>
                <w:docPart w:val="{de5e0501-b79d-46dd-99cd-94eacad910be}"/>
              </w:placeholder>
            </w:sdtPr>
            <w:sdtEndPr>
              <w:rPr>
                <w:rFonts w:hint="eastAsia" w:ascii="CESI黑体-GB13000" w:hAnsi="CESI黑体-GB13000" w:eastAsia="CESI黑体-GB13000" w:cs="CESI黑体-GB13000"/>
                <w:kern w:val="2"/>
                <w:sz w:val="28"/>
                <w:szCs w:val="28"/>
                <w:lang w:val="en-US" w:eastAsia="zh-CN" w:bidi="ar-SA"/>
              </w:rPr>
            </w:sdtEndPr>
            <w:sdtContent>
              <w:r>
                <w:rPr>
                  <w:rFonts w:hint="eastAsia" w:ascii="CESI黑体-GB13000" w:hAnsi="CESI黑体-GB13000" w:eastAsia="CESI黑体-GB13000" w:cs="CESI黑体-GB13000"/>
                  <w:sz w:val="28"/>
                  <w:szCs w:val="28"/>
                </w:rPr>
                <w:t>五、扶贫项目资产管理审计概述</w:t>
              </w:r>
            </w:sdtContent>
          </w:sdt>
          <w:r>
            <w:rPr>
              <w:rFonts w:hint="eastAsia" w:ascii="CESI黑体-GB13000" w:hAnsi="CESI黑体-GB13000" w:eastAsia="CESI黑体-GB13000" w:cs="CESI黑体-GB13000"/>
              <w:sz w:val="28"/>
              <w:szCs w:val="28"/>
            </w:rPr>
            <w:tab/>
          </w:r>
          <w:bookmarkStart w:id="5" w:name="_Toc1460804942_WPSOffice_Level1Page"/>
          <w:r>
            <w:rPr>
              <w:rFonts w:hint="eastAsia" w:ascii="CESI黑体-GB13000" w:hAnsi="CESI黑体-GB13000" w:eastAsia="CESI黑体-GB13000" w:cs="CESI黑体-GB13000"/>
              <w:sz w:val="28"/>
              <w:szCs w:val="28"/>
            </w:rPr>
            <w:t>7</w:t>
          </w:r>
          <w:bookmarkEnd w:id="5"/>
          <w:r>
            <w:rPr>
              <w:rFonts w:hint="eastAsia" w:ascii="CESI黑体-GB13000" w:hAnsi="CESI黑体-GB13000" w:eastAsia="CESI黑体-GB13000" w:cs="CESI黑体-GB13000"/>
              <w:sz w:val="28"/>
              <w:szCs w:val="28"/>
            </w:rPr>
            <w:fldChar w:fldCharType="end"/>
          </w:r>
        </w:p>
        <w:p>
          <w:pPr>
            <w:pStyle w:val="11"/>
            <w:tabs>
              <w:tab w:val="right" w:leader="dot" w:pos="8845"/>
            </w:tabs>
            <w:rPr>
              <w:rFonts w:hint="eastAsia" w:ascii="CESI黑体-GB13000" w:hAnsi="CESI黑体-GB13000" w:eastAsia="CESI黑体-GB13000" w:cs="CESI黑体-GB13000"/>
              <w:sz w:val="28"/>
              <w:szCs w:val="28"/>
            </w:rPr>
          </w:pPr>
          <w:r>
            <w:rPr>
              <w:rFonts w:hint="eastAsia" w:ascii="CESI黑体-GB13000" w:hAnsi="CESI黑体-GB13000" w:eastAsia="CESI黑体-GB13000" w:cs="CESI黑体-GB13000"/>
              <w:sz w:val="28"/>
              <w:szCs w:val="28"/>
            </w:rPr>
            <w:fldChar w:fldCharType="begin"/>
          </w:r>
          <w:r>
            <w:rPr>
              <w:rFonts w:hint="eastAsia" w:ascii="CESI黑体-GB13000" w:hAnsi="CESI黑体-GB13000" w:eastAsia="CESI黑体-GB13000" w:cs="CESI黑体-GB13000"/>
              <w:sz w:val="28"/>
              <w:szCs w:val="28"/>
            </w:rPr>
            <w:instrText xml:space="preserve"> HYPERLINK \l _Toc649960411_WPSOffice_Level1 </w:instrText>
          </w:r>
          <w:r>
            <w:rPr>
              <w:rFonts w:hint="eastAsia" w:ascii="CESI黑体-GB13000" w:hAnsi="CESI黑体-GB13000" w:eastAsia="CESI黑体-GB13000" w:cs="CESI黑体-GB13000"/>
              <w:sz w:val="28"/>
              <w:szCs w:val="28"/>
            </w:rPr>
            <w:fldChar w:fldCharType="separate"/>
          </w:r>
          <w:sdt>
            <w:sdtPr>
              <w:rPr>
                <w:rFonts w:hint="eastAsia" w:ascii="CESI黑体-GB13000" w:hAnsi="CESI黑体-GB13000" w:eastAsia="CESI黑体-GB13000" w:cs="CESI黑体-GB13000"/>
                <w:kern w:val="2"/>
                <w:sz w:val="28"/>
                <w:szCs w:val="28"/>
                <w:lang w:val="en-US" w:eastAsia="zh-CN" w:bidi="ar-SA"/>
              </w:rPr>
              <w:id w:val="195142224"/>
              <w:placeholder>
                <w:docPart w:val="{cf189849-42ee-4df4-b3fb-47bec38eb997}"/>
              </w:placeholder>
            </w:sdtPr>
            <w:sdtEndPr>
              <w:rPr>
                <w:rFonts w:hint="eastAsia" w:ascii="CESI黑体-GB13000" w:hAnsi="CESI黑体-GB13000" w:eastAsia="CESI黑体-GB13000" w:cs="CESI黑体-GB13000"/>
                <w:kern w:val="2"/>
                <w:sz w:val="28"/>
                <w:szCs w:val="28"/>
                <w:lang w:val="en-US" w:eastAsia="zh-CN" w:bidi="ar-SA"/>
              </w:rPr>
            </w:sdtEndPr>
            <w:sdtContent>
              <w:r>
                <w:rPr>
                  <w:rFonts w:hint="eastAsia" w:ascii="CESI黑体-GB13000" w:hAnsi="CESI黑体-GB13000" w:eastAsia="CESI黑体-GB13000" w:cs="CESI黑体-GB13000"/>
                  <w:sz w:val="28"/>
                  <w:szCs w:val="28"/>
                </w:rPr>
                <w:t>六、计算机技术在L市Y区扶贫项目资产管理审计运用实例</w:t>
              </w:r>
            </w:sdtContent>
          </w:sdt>
          <w:r>
            <w:rPr>
              <w:rFonts w:hint="eastAsia" w:ascii="CESI黑体-GB13000" w:hAnsi="CESI黑体-GB13000" w:eastAsia="CESI黑体-GB13000" w:cs="CESI黑体-GB13000"/>
              <w:sz w:val="28"/>
              <w:szCs w:val="28"/>
            </w:rPr>
            <w:tab/>
          </w:r>
          <w:bookmarkStart w:id="6" w:name="_Toc649960411_WPSOffice_Level1Page"/>
          <w:r>
            <w:rPr>
              <w:rFonts w:hint="eastAsia" w:ascii="CESI黑体-GB13000" w:hAnsi="CESI黑体-GB13000" w:eastAsia="CESI黑体-GB13000" w:cs="CESI黑体-GB13000"/>
              <w:sz w:val="28"/>
              <w:szCs w:val="28"/>
            </w:rPr>
            <w:t>8</w:t>
          </w:r>
          <w:bookmarkEnd w:id="6"/>
          <w:r>
            <w:rPr>
              <w:rFonts w:hint="eastAsia" w:ascii="CESI黑体-GB13000" w:hAnsi="CESI黑体-GB13000" w:eastAsia="CESI黑体-GB13000" w:cs="CESI黑体-GB13000"/>
              <w:sz w:val="28"/>
              <w:szCs w:val="28"/>
            </w:rPr>
            <w:fldChar w:fldCharType="end"/>
          </w:r>
        </w:p>
        <w:p>
          <w:pPr>
            <w:pStyle w:val="11"/>
            <w:tabs>
              <w:tab w:val="right" w:leader="dot" w:pos="8845"/>
            </w:tabs>
            <w:rPr>
              <w:rFonts w:hint="eastAsia" w:ascii="CESI黑体-GB13000" w:hAnsi="CESI黑体-GB13000" w:eastAsia="CESI黑体-GB13000" w:cs="CESI黑体-GB13000"/>
              <w:sz w:val="28"/>
              <w:szCs w:val="28"/>
            </w:rPr>
          </w:pPr>
          <w:r>
            <w:rPr>
              <w:rFonts w:hint="eastAsia" w:ascii="CESI黑体-GB13000" w:hAnsi="CESI黑体-GB13000" w:eastAsia="CESI黑体-GB13000" w:cs="CESI黑体-GB13000"/>
              <w:sz w:val="28"/>
              <w:szCs w:val="28"/>
            </w:rPr>
            <w:fldChar w:fldCharType="begin"/>
          </w:r>
          <w:r>
            <w:rPr>
              <w:rFonts w:hint="eastAsia" w:ascii="CESI黑体-GB13000" w:hAnsi="CESI黑体-GB13000" w:eastAsia="CESI黑体-GB13000" w:cs="CESI黑体-GB13000"/>
              <w:sz w:val="28"/>
              <w:szCs w:val="28"/>
            </w:rPr>
            <w:instrText xml:space="preserve"> HYPERLINK \l _Toc657511891_WPSOffice_Level1 </w:instrText>
          </w:r>
          <w:r>
            <w:rPr>
              <w:rFonts w:hint="eastAsia" w:ascii="CESI黑体-GB13000" w:hAnsi="CESI黑体-GB13000" w:eastAsia="CESI黑体-GB13000" w:cs="CESI黑体-GB13000"/>
              <w:sz w:val="28"/>
              <w:szCs w:val="28"/>
            </w:rPr>
            <w:fldChar w:fldCharType="separate"/>
          </w:r>
          <w:sdt>
            <w:sdtPr>
              <w:rPr>
                <w:rFonts w:hint="eastAsia" w:ascii="CESI黑体-GB13000" w:hAnsi="CESI黑体-GB13000" w:eastAsia="CESI黑体-GB13000" w:cs="CESI黑体-GB13000"/>
                <w:kern w:val="2"/>
                <w:sz w:val="28"/>
                <w:szCs w:val="28"/>
                <w:lang w:val="en-US" w:eastAsia="zh-CN" w:bidi="ar-SA"/>
              </w:rPr>
              <w:id w:val="195142224"/>
              <w:placeholder>
                <w:docPart w:val="{7ba33135-4c6a-47f4-bd3f-f80d4d03958f}"/>
              </w:placeholder>
            </w:sdtPr>
            <w:sdtEndPr>
              <w:rPr>
                <w:rFonts w:hint="eastAsia" w:ascii="CESI黑体-GB13000" w:hAnsi="CESI黑体-GB13000" w:eastAsia="CESI黑体-GB13000" w:cs="CESI黑体-GB13000"/>
                <w:kern w:val="2"/>
                <w:sz w:val="28"/>
                <w:szCs w:val="28"/>
                <w:lang w:val="en-US" w:eastAsia="zh-CN" w:bidi="ar-SA"/>
              </w:rPr>
            </w:sdtEndPr>
            <w:sdtContent>
              <w:r>
                <w:rPr>
                  <w:rFonts w:hint="eastAsia" w:ascii="CESI黑体-GB13000" w:hAnsi="CESI黑体-GB13000" w:eastAsia="CESI黑体-GB13000" w:cs="CESI黑体-GB13000"/>
                  <w:sz w:val="28"/>
                  <w:szCs w:val="28"/>
                </w:rPr>
                <w:t>七、加强扶贫资产后续管理及运用计算机技术提升审计成效的建议</w:t>
              </w:r>
            </w:sdtContent>
          </w:sdt>
          <w:r>
            <w:rPr>
              <w:rFonts w:hint="eastAsia" w:ascii="CESI黑体-GB13000" w:hAnsi="CESI黑体-GB13000" w:eastAsia="CESI黑体-GB13000" w:cs="CESI黑体-GB13000"/>
              <w:sz w:val="28"/>
              <w:szCs w:val="28"/>
            </w:rPr>
            <w:tab/>
          </w:r>
          <w:bookmarkStart w:id="7" w:name="_Toc657511891_WPSOffice_Level1Page"/>
          <w:r>
            <w:rPr>
              <w:rFonts w:hint="eastAsia" w:ascii="CESI黑体-GB13000" w:hAnsi="CESI黑体-GB13000" w:eastAsia="CESI黑体-GB13000" w:cs="CESI黑体-GB13000"/>
              <w:sz w:val="28"/>
              <w:szCs w:val="28"/>
            </w:rPr>
            <w:t>21</w:t>
          </w:r>
          <w:bookmarkEnd w:id="7"/>
          <w:r>
            <w:rPr>
              <w:rFonts w:hint="eastAsia" w:ascii="CESI黑体-GB13000" w:hAnsi="CESI黑体-GB13000" w:eastAsia="CESI黑体-GB13000" w:cs="CESI黑体-GB13000"/>
              <w:sz w:val="28"/>
              <w:szCs w:val="28"/>
            </w:rPr>
            <w:fldChar w:fldCharType="end"/>
          </w:r>
        </w:p>
        <w:p>
          <w:pPr>
            <w:pStyle w:val="11"/>
            <w:tabs>
              <w:tab w:val="right" w:leader="dot" w:pos="8845"/>
            </w:tabs>
          </w:pPr>
          <w:r>
            <w:rPr>
              <w:rFonts w:hint="eastAsia" w:ascii="CESI黑体-GB13000" w:hAnsi="CESI黑体-GB13000" w:eastAsia="CESI黑体-GB13000" w:cs="CESI黑体-GB13000"/>
              <w:sz w:val="28"/>
              <w:szCs w:val="28"/>
            </w:rPr>
            <w:fldChar w:fldCharType="begin"/>
          </w:r>
          <w:r>
            <w:rPr>
              <w:rFonts w:hint="eastAsia" w:ascii="CESI黑体-GB13000" w:hAnsi="CESI黑体-GB13000" w:eastAsia="CESI黑体-GB13000" w:cs="CESI黑体-GB13000"/>
              <w:sz w:val="28"/>
              <w:szCs w:val="28"/>
            </w:rPr>
            <w:instrText xml:space="preserve"> HYPERLINK \l _Toc1234204293_WPSOffice_Level1 </w:instrText>
          </w:r>
          <w:r>
            <w:rPr>
              <w:rFonts w:hint="eastAsia" w:ascii="CESI黑体-GB13000" w:hAnsi="CESI黑体-GB13000" w:eastAsia="CESI黑体-GB13000" w:cs="CESI黑体-GB13000"/>
              <w:sz w:val="28"/>
              <w:szCs w:val="28"/>
            </w:rPr>
            <w:fldChar w:fldCharType="separate"/>
          </w:r>
          <w:sdt>
            <w:sdtPr>
              <w:rPr>
                <w:rFonts w:hint="eastAsia" w:ascii="CESI黑体-GB13000" w:hAnsi="CESI黑体-GB13000" w:eastAsia="CESI黑体-GB13000" w:cs="CESI黑体-GB13000"/>
                <w:kern w:val="2"/>
                <w:sz w:val="28"/>
                <w:szCs w:val="28"/>
                <w:lang w:val="en-US" w:eastAsia="zh-CN" w:bidi="ar-SA"/>
              </w:rPr>
              <w:id w:val="195142224"/>
              <w:placeholder>
                <w:docPart w:val="{13261b60-106b-4b40-a571-af060b9140a4}"/>
              </w:placeholder>
            </w:sdtPr>
            <w:sdtEndPr>
              <w:rPr>
                <w:rFonts w:hint="eastAsia" w:ascii="CESI黑体-GB13000" w:hAnsi="CESI黑体-GB13000" w:eastAsia="CESI黑体-GB13000" w:cs="CESI黑体-GB13000"/>
                <w:kern w:val="2"/>
                <w:sz w:val="28"/>
                <w:szCs w:val="28"/>
                <w:lang w:val="en-US" w:eastAsia="zh-CN" w:bidi="ar-SA"/>
              </w:rPr>
            </w:sdtEndPr>
            <w:sdtContent>
              <w:r>
                <w:rPr>
                  <w:rFonts w:hint="eastAsia" w:ascii="CESI黑体-GB13000" w:hAnsi="CESI黑体-GB13000" w:eastAsia="CESI黑体-GB13000" w:cs="CESI黑体-GB13000"/>
                  <w:sz w:val="28"/>
                  <w:szCs w:val="28"/>
                </w:rPr>
                <w:t>八、不足与展望</w:t>
              </w:r>
            </w:sdtContent>
          </w:sdt>
          <w:r>
            <w:rPr>
              <w:rFonts w:hint="eastAsia" w:ascii="CESI黑体-GB13000" w:hAnsi="CESI黑体-GB13000" w:eastAsia="CESI黑体-GB13000" w:cs="CESI黑体-GB13000"/>
              <w:sz w:val="28"/>
              <w:szCs w:val="28"/>
            </w:rPr>
            <w:tab/>
          </w:r>
          <w:bookmarkStart w:id="8" w:name="_Toc1234204293_WPSOffice_Level1Page"/>
          <w:r>
            <w:rPr>
              <w:rFonts w:hint="eastAsia" w:ascii="CESI黑体-GB13000" w:hAnsi="CESI黑体-GB13000" w:eastAsia="CESI黑体-GB13000" w:cs="CESI黑体-GB13000"/>
              <w:sz w:val="28"/>
              <w:szCs w:val="28"/>
            </w:rPr>
            <w:t>25</w:t>
          </w:r>
          <w:bookmarkEnd w:id="8"/>
          <w:r>
            <w:rPr>
              <w:rFonts w:hint="eastAsia" w:ascii="CESI黑体-GB13000" w:hAnsi="CESI黑体-GB13000" w:eastAsia="CESI黑体-GB13000" w:cs="CESI黑体-GB13000"/>
              <w:sz w:val="28"/>
              <w:szCs w:val="28"/>
            </w:rPr>
            <w:fldChar w:fldCharType="end"/>
          </w:r>
          <w:bookmarkEnd w:id="0"/>
        </w:p>
      </w:sdtContent>
    </w:sdt>
    <w:p>
      <w:pPr>
        <w:rPr>
          <w:rFonts w:hint="eastAsia" w:ascii="方正小标宋简体" w:hAnsi="方正小标宋简体" w:eastAsia="方正小标宋简体" w:cs="方正小标宋简体"/>
          <w:sz w:val="32"/>
          <w:szCs w:val="32"/>
        </w:rPr>
      </w:pPr>
      <w:bookmarkStart w:id="9" w:name="_Toc1519396083_WPSOffice_Level1"/>
      <w:r>
        <w:rPr>
          <w:rFonts w:hint="eastAsia" w:ascii="方正小标宋简体" w:hAnsi="方正小标宋简体" w:eastAsia="方正小标宋简体" w:cs="方正小标宋简体"/>
          <w:sz w:val="32"/>
          <w:szCs w:val="32"/>
        </w:rPr>
        <w:br w:type="page"/>
      </w:r>
    </w:p>
    <w:p>
      <w:pPr>
        <w:keepNext w:val="0"/>
        <w:keepLines w:val="0"/>
        <w:pageBreakBefore w:val="0"/>
        <w:widowControl w:val="0"/>
        <w:kinsoku/>
        <w:wordWrap/>
        <w:overflowPunct/>
        <w:topLinePunct w:val="0"/>
        <w:autoSpaceDE/>
        <w:autoSpaceDN/>
        <w:bidi w:val="0"/>
        <w:adjustRightInd/>
        <w:snapToGrid/>
        <w:spacing w:line="720" w:lineRule="exact"/>
        <w:ind w:firstLine="640" w:firstLineChars="200"/>
        <w:jc w:val="center"/>
        <w:textAlignment w:val="auto"/>
        <w:rPr>
          <w:rFonts w:hint="eastAsia" w:ascii="方正小标宋简体" w:hAnsi="方正小标宋简体" w:eastAsia="方正小标宋简体" w:cs="方正小标宋简体"/>
          <w:sz w:val="32"/>
          <w:szCs w:val="32"/>
        </w:rPr>
      </w:pPr>
      <w:bookmarkStart w:id="10" w:name="_Toc301257982_WPSOffice_Level1"/>
      <w:r>
        <w:rPr>
          <w:rFonts w:hint="eastAsia" w:ascii="方正小标宋简体" w:hAnsi="方正小标宋简体" w:eastAsia="方正小标宋简体" w:cs="方正小标宋简体"/>
          <w:sz w:val="32"/>
          <w:szCs w:val="32"/>
        </w:rPr>
        <w:t>计算机技术在扶贫项目资产管理审计中的应用研究</w:t>
      </w:r>
      <w:bookmarkEnd w:id="9"/>
      <w:bookmarkEnd w:id="10"/>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sz w:val="28"/>
          <w:szCs w:val="28"/>
          <w:lang w:val="en-US" w:eastAsia="zh-CN"/>
        </w:rPr>
      </w:pPr>
      <w:r>
        <w:rPr>
          <w:rFonts w:hint="eastAsia" w:ascii="仿宋" w:hAnsi="仿宋" w:eastAsia="仿宋" w:cs="仿宋"/>
          <w:sz w:val="28"/>
          <w:szCs w:val="28"/>
          <w:lang w:val="en-US" w:eastAsia="zh-CN"/>
        </w:rPr>
        <w:t>柳州市鱼峰区审计局课题组</w:t>
      </w:r>
    </w:p>
    <w:p>
      <w:pPr>
        <w:keepNext w:val="0"/>
        <w:keepLines w:val="0"/>
        <w:pageBreakBefore w:val="0"/>
        <w:widowControl w:val="0"/>
        <w:kinsoku/>
        <w:wordWrap/>
        <w:overflowPunct/>
        <w:topLinePunct w:val="0"/>
        <w:autoSpaceDE/>
        <w:autoSpaceDN/>
        <w:bidi w:val="0"/>
        <w:adjustRightInd/>
        <w:snapToGrid/>
        <w:spacing w:line="560" w:lineRule="exact"/>
        <w:ind w:firstLine="481" w:firstLineChars="200"/>
        <w:textAlignment w:val="auto"/>
        <w:rPr>
          <w:rFonts w:hint="default" w:ascii="仿宋" w:hAnsi="仿宋" w:eastAsia="仿宋" w:cs="仿宋"/>
          <w:sz w:val="24"/>
          <w:szCs w:val="24"/>
          <w:lang w:val="en-US" w:eastAsia="zh-CN"/>
        </w:rPr>
      </w:pPr>
      <w:r>
        <w:rPr>
          <w:rFonts w:hint="eastAsia" w:ascii="楷体_GB2312" w:hAnsi="楷体_GB2312" w:eastAsia="楷体_GB2312" w:cs="楷体_GB2312"/>
          <w:b/>
          <w:bCs/>
          <w:sz w:val="24"/>
          <w:szCs w:val="24"/>
          <w:lang w:val="en-US" w:eastAsia="zh-CN"/>
        </w:rPr>
        <w:t>[摘 要]</w:t>
      </w:r>
      <w:r>
        <w:rPr>
          <w:rFonts w:hint="eastAsia" w:ascii="楷体_GB2312" w:hAnsi="楷体_GB2312" w:eastAsia="楷体_GB2312" w:cs="楷体_GB2312"/>
          <w:sz w:val="24"/>
          <w:szCs w:val="24"/>
          <w:lang w:val="en-US" w:eastAsia="zh-CN"/>
        </w:rPr>
        <w:t>党的十八大以来，国家持续加大扶贫投入力度，实施了大量扶贫项目，形成了较大的资产，这些资产分散在各地，资产的管理使用情况、是否发挥了应有的效益成了国家关心的问题。审计作为一种有效的监督手段，对于揭示扶贫资产管理中的问题、规范管理行为、提高资金使用效益具有重要意义。但扶贫项目资产的分布比较分散，在审计过程中，如何高效完成审计工作，提升审计的质量和准确性是审计机关需要考虑的问题，而计算机技术作为一种有效的手段可以帮助审计机关提高审计效率、确保数据的准确性和审计透明度。本文以L市Y区扶贫项目资产管理审计案例为例，由点及面，探讨如何利用现代计算机信息技术，提高审计工作的效率、质量和准确性，揭示存在的问题，并提出相应的改进建议，为我国扶贫事业的健康发展提供有力保障，这一研究方向既符合国家政策要求，也具有现实意义。</w:t>
      </w:r>
    </w:p>
    <w:p>
      <w:pPr>
        <w:keepNext w:val="0"/>
        <w:keepLines w:val="0"/>
        <w:pageBreakBefore w:val="0"/>
        <w:widowControl w:val="0"/>
        <w:kinsoku/>
        <w:wordWrap/>
        <w:overflowPunct/>
        <w:topLinePunct w:val="0"/>
        <w:autoSpaceDE/>
        <w:autoSpaceDN/>
        <w:bidi w:val="0"/>
        <w:adjustRightInd/>
        <w:snapToGrid/>
        <w:spacing w:line="560" w:lineRule="exact"/>
        <w:ind w:firstLine="481" w:firstLineChars="200"/>
        <w:textAlignment w:val="auto"/>
        <w:rPr>
          <w:rFonts w:hint="eastAsia" w:ascii="仿宋" w:hAnsi="仿宋" w:eastAsia="仿宋" w:cs="仿宋"/>
          <w:sz w:val="24"/>
          <w:szCs w:val="24"/>
          <w:lang w:val="en-US" w:eastAsia="zh-CN"/>
        </w:rPr>
      </w:pPr>
      <w:r>
        <w:rPr>
          <w:rFonts w:hint="eastAsia" w:ascii="楷体" w:hAnsi="楷体" w:eastAsia="楷体" w:cs="楷体"/>
          <w:b/>
          <w:bCs/>
          <w:sz w:val="24"/>
          <w:szCs w:val="24"/>
          <w:lang w:val="en-US" w:eastAsia="zh-CN"/>
        </w:rPr>
        <w:t>[关键词]</w:t>
      </w:r>
      <w:r>
        <w:rPr>
          <w:rFonts w:hint="eastAsia" w:ascii="楷体" w:hAnsi="楷体" w:eastAsia="楷体" w:cs="楷体"/>
          <w:sz w:val="24"/>
          <w:szCs w:val="24"/>
          <w:lang w:val="en-US" w:eastAsia="zh-CN"/>
        </w:rPr>
        <w:t>计算机技术  扶贫项目  资产管理  审计</w:t>
      </w:r>
    </w:p>
    <w:p>
      <w:pPr>
        <w:pStyle w:val="4"/>
        <w:keepNext w:val="0"/>
        <w:keepLines w:val="0"/>
        <w:pageBreakBefore w:val="0"/>
        <w:widowControl w:val="0"/>
        <w:kinsoku/>
        <w:wordWrap/>
        <w:overflowPunct/>
        <w:topLinePunct w:val="0"/>
        <w:autoSpaceDE/>
        <w:autoSpaceDN/>
        <w:bidi w:val="0"/>
        <w:adjustRightInd/>
        <w:spacing w:before="0" w:after="0" w:line="560" w:lineRule="exact"/>
        <w:ind w:firstLine="560" w:firstLineChars="200"/>
        <w:jc w:val="both"/>
        <w:textAlignment w:val="auto"/>
        <w:rPr>
          <w:rFonts w:hint="eastAsia" w:ascii="黑体" w:hAnsi="黑体" w:eastAsia="黑体" w:cs="黑体"/>
          <w:b w:val="0"/>
          <w:bCs/>
          <w:sz w:val="28"/>
          <w:szCs w:val="28"/>
          <w:lang w:val="en-US" w:eastAsia="zh-CN"/>
        </w:rPr>
      </w:pPr>
      <w:bookmarkStart w:id="11" w:name="_Toc1495704683_WPSOffice_Level1"/>
      <w:r>
        <w:rPr>
          <w:rFonts w:hint="eastAsia" w:ascii="黑体" w:hAnsi="黑体" w:eastAsia="黑体" w:cs="黑体"/>
          <w:b w:val="0"/>
          <w:bCs/>
          <w:sz w:val="28"/>
          <w:szCs w:val="28"/>
          <w:lang w:val="en-US" w:eastAsia="zh-CN"/>
        </w:rPr>
        <w:t>一、引言</w:t>
      </w:r>
      <w:bookmarkEnd w:id="11"/>
    </w:p>
    <w:p>
      <w:pPr>
        <w:pStyle w:val="2"/>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宋体" w:hAnsi="宋体" w:eastAsia="宋体" w:cs="宋体"/>
          <w:b w:val="0"/>
          <w:bCs w:val="0"/>
          <w:kern w:val="2"/>
          <w:sz w:val="28"/>
          <w:szCs w:val="28"/>
          <w:lang w:val="en-US" w:eastAsia="zh-CN" w:bidi="ar-SA"/>
        </w:rPr>
      </w:pPr>
      <w:r>
        <w:rPr>
          <w:rFonts w:hint="eastAsia" w:ascii="仿宋" w:hAnsi="仿宋" w:eastAsia="仿宋" w:cs="宋体"/>
          <w:sz w:val="28"/>
          <w:szCs w:val="28"/>
        </w:rPr>
        <w:t>“十四五”国家审计工作发展规划中明确指出，未来五年，</w:t>
      </w:r>
      <w:r>
        <w:rPr>
          <w:rFonts w:hint="eastAsia" w:ascii="仿宋" w:hAnsi="仿宋" w:eastAsia="仿宋" w:cs="宋体"/>
          <w:sz w:val="28"/>
          <w:szCs w:val="28"/>
          <w:lang w:val="en-US" w:eastAsia="zh-CN"/>
        </w:rPr>
        <w:t>审计机关要坚持以人民为中心，坚持人民主体地位，站稳人民立场，坚持把促进实现好、维护好、发展好最广大人民根本利益作为审计工作的出发点和落脚点，紧扣我国社会主要矛盾变化，把改善人民生活品质、推动共同富裕作为审计工作的切入点和着力点，推动党中央、国务院各项惠民富民政策落到实处。要加大对重点民生资金和项目审计力度，维护人民利益，以提高保障和改善民生水平，确保兜牢基本民生底线，推动民生领域相关改革任务落实落地，促进健全多层次社会保障体系，维护好最广大人民根本利益为目标，加强对就业、社会保障、住房、教育和卫生健康等重点民生资金、项目和相关政策落实情况的审计。</w:t>
      </w:r>
    </w:p>
    <w:p>
      <w:pPr>
        <w:keepNext w:val="0"/>
        <w:keepLines w:val="0"/>
        <w:pageBreakBefore w:val="0"/>
        <w:widowControl w:val="0"/>
        <w:kinsoku/>
        <w:wordWrap/>
        <w:overflowPunct/>
        <w:topLinePunct w:val="0"/>
        <w:autoSpaceDE/>
        <w:autoSpaceDN/>
        <w:bidi w:val="0"/>
        <w:adjustRightInd/>
        <w:snapToGrid/>
        <w:spacing w:line="560" w:lineRule="exact"/>
        <w:ind w:firstLine="489"/>
        <w:textAlignment w:val="auto"/>
        <w:rPr>
          <w:rFonts w:hint="eastAsia" w:ascii="仿宋" w:hAnsi="仿宋" w:eastAsia="仿宋" w:cs="仿宋"/>
          <w:b w:val="0"/>
          <w:kern w:val="2"/>
          <w:sz w:val="28"/>
          <w:szCs w:val="28"/>
          <w:lang w:val="en-US" w:eastAsia="zh-CN" w:bidi="ar-SA"/>
        </w:rPr>
      </w:pPr>
      <w:bookmarkStart w:id="12" w:name="OLE_LINK1"/>
      <w:r>
        <w:rPr>
          <w:rFonts w:hint="eastAsia" w:ascii="仿宋" w:hAnsi="仿宋" w:eastAsia="仿宋" w:cs="仿宋"/>
          <w:sz w:val="28"/>
          <w:szCs w:val="28"/>
          <w:lang w:val="en-US" w:eastAsia="zh-CN"/>
        </w:rPr>
        <w:t>党的十八大以来，国家持续加大扶贫投入力度，实施了大量扶贫项目，形成了较大的资产，这些资产分散在各地，资产的管理使用情况、是否发挥了应有的效益成了国家关心的问题。</w:t>
      </w:r>
      <w:bookmarkEnd w:id="12"/>
      <w:r>
        <w:rPr>
          <w:rFonts w:hint="eastAsia" w:ascii="仿宋" w:hAnsi="仿宋" w:eastAsia="仿宋" w:cs="仿宋"/>
          <w:sz w:val="28"/>
          <w:szCs w:val="28"/>
          <w:lang w:val="en-US" w:eastAsia="zh-CN"/>
        </w:rPr>
        <w:t>2021年5月，国务院办公厅转发</w:t>
      </w:r>
      <w:bookmarkStart w:id="13" w:name="OLE_LINK8"/>
      <w:r>
        <w:rPr>
          <w:rFonts w:hint="eastAsia" w:ascii="仿宋" w:hAnsi="仿宋" w:eastAsia="仿宋" w:cs="仿宋"/>
          <w:sz w:val="28"/>
          <w:szCs w:val="28"/>
          <w:lang w:val="en-US" w:eastAsia="zh-CN"/>
        </w:rPr>
        <w:t>国家乡村振兴局</w:t>
      </w:r>
      <w:bookmarkEnd w:id="13"/>
      <w:r>
        <w:rPr>
          <w:rFonts w:hint="eastAsia" w:ascii="仿宋" w:hAnsi="仿宋" w:eastAsia="仿宋" w:cs="仿宋"/>
          <w:sz w:val="28"/>
          <w:szCs w:val="28"/>
          <w:lang w:val="en-US" w:eastAsia="zh-CN"/>
        </w:rPr>
        <w:t>、中央农办、财政部《关于加强扶贫项目资产后续管理的指导意见》（以下简称：意见），对资产的后续管理提出了明确的指导意见。</w:t>
      </w:r>
      <w:bookmarkStart w:id="14" w:name="OLE_LINK2"/>
      <w:r>
        <w:rPr>
          <w:rFonts w:hint="eastAsia" w:ascii="仿宋" w:hAnsi="仿宋" w:eastAsia="仿宋" w:cs="仿宋"/>
          <w:b w:val="0"/>
          <w:kern w:val="2"/>
          <w:sz w:val="28"/>
          <w:szCs w:val="28"/>
          <w:lang w:val="en-US" w:eastAsia="zh-CN" w:bidi="ar-SA"/>
        </w:rPr>
        <w:t>审计作为一种有效的监督手段，对于揭示扶贫资产管理中的问题、规范管理行为、提高资金使用效益具有重要意义。而扶贫项目资产的分布比较分散，在审计过程中，如何高效完成审计工作，提升审计的质量、效率和准确性是审计机关需要考虑的问题。而计算机技术作为一种有效的手段可以帮助审计机关提高审计效率、确保数据和审计结果的准确性。</w:t>
      </w:r>
    </w:p>
    <w:bookmarkEnd w:id="14"/>
    <w:p>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0" w:firstLineChars="200"/>
        <w:jc w:val="both"/>
        <w:textAlignment w:val="auto"/>
        <w:rPr>
          <w:rFonts w:hint="eastAsia" w:ascii="仿宋" w:hAnsi="仿宋" w:eastAsia="仿宋" w:cs="仿宋"/>
          <w:b w:val="0"/>
          <w:kern w:val="2"/>
          <w:sz w:val="28"/>
          <w:szCs w:val="28"/>
          <w:lang w:val="en-US" w:eastAsia="zh-CN" w:bidi="ar-SA"/>
        </w:rPr>
      </w:pPr>
      <w:bookmarkStart w:id="15" w:name="OLE_LINK4"/>
      <w:r>
        <w:rPr>
          <w:rFonts w:hint="eastAsia" w:ascii="仿宋" w:hAnsi="仿宋" w:eastAsia="仿宋" w:cs="仿宋"/>
          <w:b w:val="0"/>
          <w:kern w:val="2"/>
          <w:sz w:val="28"/>
          <w:szCs w:val="28"/>
          <w:lang w:val="en-US" w:eastAsia="zh-CN" w:bidi="ar-SA"/>
        </w:rPr>
        <w:t>本文以</w:t>
      </w:r>
      <w:bookmarkStart w:id="16" w:name="OLE_LINK5"/>
      <w:bookmarkStart w:id="17" w:name="OLE_LINK3"/>
      <w:r>
        <w:rPr>
          <w:rFonts w:hint="eastAsia" w:ascii="仿宋" w:hAnsi="仿宋" w:eastAsia="仿宋" w:cs="仿宋"/>
          <w:b w:val="0"/>
          <w:kern w:val="2"/>
          <w:sz w:val="28"/>
          <w:szCs w:val="28"/>
          <w:lang w:val="en-US" w:eastAsia="zh-CN" w:bidi="ar-SA"/>
        </w:rPr>
        <w:t>L市Y区</w:t>
      </w:r>
      <w:bookmarkEnd w:id="16"/>
      <w:r>
        <w:rPr>
          <w:rFonts w:hint="eastAsia" w:ascii="仿宋" w:hAnsi="仿宋" w:eastAsia="仿宋" w:cs="仿宋"/>
          <w:b w:val="0"/>
          <w:kern w:val="2"/>
          <w:sz w:val="28"/>
          <w:szCs w:val="28"/>
          <w:lang w:val="en-US" w:eastAsia="zh-CN" w:bidi="ar-SA"/>
        </w:rPr>
        <w:t>扶贫项目资产管理审计采用计算机技术辅助审计的案例</w:t>
      </w:r>
      <w:bookmarkEnd w:id="17"/>
      <w:r>
        <w:rPr>
          <w:rFonts w:hint="eastAsia" w:ascii="仿宋" w:hAnsi="仿宋" w:eastAsia="仿宋" w:cs="仿宋"/>
          <w:b w:val="0"/>
          <w:kern w:val="2"/>
          <w:sz w:val="28"/>
          <w:szCs w:val="28"/>
          <w:lang w:val="en-US" w:eastAsia="zh-CN" w:bidi="ar-SA"/>
        </w:rPr>
        <w:t>为例，由点及面，探讨如何通过充分利用现代计算机信息技术，提高审计工作的效率、提升审计质量和审计结果的准确性，</w:t>
      </w:r>
      <w:bookmarkStart w:id="18" w:name="OLE_LINK11"/>
      <w:r>
        <w:rPr>
          <w:rFonts w:hint="eastAsia" w:ascii="仿宋" w:hAnsi="仿宋" w:eastAsia="仿宋" w:cs="仿宋"/>
          <w:b w:val="0"/>
          <w:kern w:val="2"/>
          <w:sz w:val="28"/>
          <w:szCs w:val="28"/>
          <w:lang w:val="en-US" w:eastAsia="zh-CN" w:bidi="ar-SA"/>
        </w:rPr>
        <w:t>揭示资产管理中存在的问题，并提出相应的改进建议，为我国扶贫事业的健康发展提供有效借鉴</w:t>
      </w:r>
      <w:bookmarkEnd w:id="18"/>
      <w:r>
        <w:rPr>
          <w:rFonts w:hint="eastAsia" w:ascii="仿宋" w:hAnsi="仿宋" w:eastAsia="仿宋" w:cs="仿宋"/>
          <w:b w:val="0"/>
          <w:kern w:val="2"/>
          <w:sz w:val="28"/>
          <w:szCs w:val="28"/>
          <w:lang w:val="en-US" w:eastAsia="zh-CN" w:bidi="ar-SA"/>
        </w:rPr>
        <w:t>，这一研究方向既符合国家政策要求，也具有积极的现实意义。</w:t>
      </w:r>
    </w:p>
    <w:bookmarkEnd w:id="15"/>
    <w:p>
      <w:pPr>
        <w:keepNext w:val="0"/>
        <w:keepLines w:val="0"/>
        <w:pageBreakBefore w:val="0"/>
        <w:widowControl w:val="0"/>
        <w:numPr>
          <w:ilvl w:val="0"/>
          <w:numId w:val="0"/>
        </w:numPr>
        <w:kinsoku/>
        <w:wordWrap/>
        <w:overflowPunct/>
        <w:topLinePunct w:val="0"/>
        <w:autoSpaceDE/>
        <w:autoSpaceDN/>
        <w:bidi w:val="0"/>
        <w:spacing w:line="560" w:lineRule="exact"/>
        <w:ind w:left="560" w:leftChars="0"/>
        <w:textAlignment w:val="auto"/>
        <w:rPr>
          <w:rFonts w:hint="eastAsia"/>
          <w:sz w:val="28"/>
          <w:szCs w:val="28"/>
          <w:lang w:val="en-US" w:eastAsia="zh-CN"/>
        </w:rPr>
      </w:pPr>
      <w:bookmarkStart w:id="19" w:name="_Toc818042881_WPSOffice_Level1"/>
      <w:r>
        <w:rPr>
          <w:rFonts w:hint="eastAsia" w:ascii="黑体" w:hAnsi="黑体" w:eastAsia="黑体" w:cs="黑体"/>
          <w:b w:val="0"/>
          <w:kern w:val="2"/>
          <w:sz w:val="28"/>
          <w:szCs w:val="28"/>
          <w:lang w:val="en-US" w:eastAsia="zh-CN" w:bidi="ar-SA"/>
        </w:rPr>
        <w:t>二、文献综述</w:t>
      </w:r>
      <w:bookmarkEnd w:id="19"/>
    </w:p>
    <w:p>
      <w:pPr>
        <w:pStyle w:val="3"/>
        <w:keepNext w:val="0"/>
        <w:keepLines w:val="0"/>
        <w:pageBreakBefore w:val="0"/>
        <w:widowControl w:val="0"/>
        <w:numPr>
          <w:ilvl w:val="0"/>
          <w:numId w:val="0"/>
        </w:numPr>
        <w:kinsoku/>
        <w:wordWrap/>
        <w:overflowPunct/>
        <w:topLinePunct w:val="0"/>
        <w:autoSpaceDE/>
        <w:autoSpaceDN/>
        <w:bidi w:val="0"/>
        <w:spacing w:line="560" w:lineRule="exact"/>
        <w:ind w:firstLine="560" w:firstLineChars="200"/>
        <w:textAlignment w:val="auto"/>
        <w:rPr>
          <w:rFonts w:hint="eastAsia" w:ascii="楷体" w:hAnsi="楷体" w:eastAsia="楷体" w:cs="楷体"/>
          <w:b w:val="0"/>
          <w:kern w:val="2"/>
          <w:sz w:val="28"/>
          <w:szCs w:val="28"/>
          <w:lang w:val="en-US" w:eastAsia="zh-CN" w:bidi="ar-SA"/>
        </w:rPr>
      </w:pPr>
      <w:r>
        <w:rPr>
          <w:rFonts w:hint="eastAsia" w:ascii="楷体" w:hAnsi="楷体" w:eastAsia="楷体" w:cs="楷体"/>
          <w:b w:val="0"/>
          <w:kern w:val="2"/>
          <w:sz w:val="28"/>
          <w:szCs w:val="28"/>
          <w:lang w:val="en-US" w:eastAsia="zh-CN" w:bidi="ar-SA"/>
        </w:rPr>
        <w:t>（一）在扶贫项目管理研究方面</w:t>
      </w:r>
    </w:p>
    <w:p>
      <w:pPr>
        <w:pStyle w:val="3"/>
        <w:keepNext w:val="0"/>
        <w:keepLines w:val="0"/>
        <w:pageBreakBefore w:val="0"/>
        <w:widowControl w:val="0"/>
        <w:numPr>
          <w:ilvl w:val="0"/>
          <w:numId w:val="0"/>
        </w:numPr>
        <w:kinsoku/>
        <w:wordWrap/>
        <w:overflowPunct/>
        <w:topLinePunct w:val="0"/>
        <w:autoSpaceDE/>
        <w:autoSpaceDN/>
        <w:bidi w:val="0"/>
        <w:spacing w:line="560" w:lineRule="exact"/>
        <w:ind w:firstLine="560" w:firstLineChars="200"/>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Parker认为对政策实施情况进行审计已经成为了审计部门必不可少的职能，以此能够更好地监督各个部门，识别违规行为，对公共部门问责</w:t>
      </w:r>
      <w:r>
        <w:rPr>
          <w:rFonts w:hint="eastAsia" w:ascii="仿宋" w:hAnsi="仿宋" w:eastAsia="仿宋" w:cs="仿宋"/>
          <w:color w:val="auto"/>
          <w:sz w:val="28"/>
          <w:szCs w:val="28"/>
          <w:vertAlign w:val="superscript"/>
          <w:lang w:val="en-US" w:eastAsia="zh-CN"/>
        </w:rPr>
        <w:t>[1]</w:t>
      </w:r>
      <w:r>
        <w:rPr>
          <w:rFonts w:hint="eastAsia" w:ascii="仿宋" w:hAnsi="仿宋" w:eastAsia="仿宋" w:cs="仿宋"/>
          <w:b w:val="0"/>
          <w:kern w:val="2"/>
          <w:sz w:val="28"/>
          <w:szCs w:val="28"/>
          <w:lang w:val="en-US" w:eastAsia="zh-CN" w:bidi="ar-SA"/>
        </w:rPr>
        <w:t>。 Ikhlasiani T. Tonggil在对玉米项目扶贫政策研究文献中指出，政府通过一定的商品扶持加速计划政策是可行的，但是对这一政策的监测和评价是至关重要的，同时也要加强对扶贫计划的评估，使得政策能够成功实现预期效果</w:t>
      </w:r>
      <w:r>
        <w:rPr>
          <w:rFonts w:hint="eastAsia" w:ascii="仿宋" w:hAnsi="仿宋" w:eastAsia="仿宋" w:cs="仿宋"/>
          <w:color w:val="auto"/>
          <w:sz w:val="28"/>
          <w:szCs w:val="28"/>
          <w:vertAlign w:val="superscript"/>
          <w:lang w:val="en-US" w:eastAsia="zh-CN"/>
        </w:rPr>
        <w:t>[2]</w:t>
      </w:r>
      <w:r>
        <w:rPr>
          <w:rFonts w:hint="eastAsia" w:ascii="仿宋" w:hAnsi="仿宋" w:eastAsia="仿宋" w:cs="仿宋"/>
          <w:b w:val="0"/>
          <w:kern w:val="2"/>
          <w:sz w:val="28"/>
          <w:szCs w:val="28"/>
          <w:lang w:val="en-US" w:eastAsia="zh-CN" w:bidi="ar-SA"/>
        </w:rPr>
        <w:t>。有学者发现党的十八大以来，我国各级审计机关深入贯彻落实党中央相关的要求，积极开展扶贫审计工作，在促进相关资金有效使用、巩固扶贫成果以及完善扶贫政策方面发挥了重要的作用，助力我国脱贫攻坚战的胜利，推动了全面建成小康社会的进程</w:t>
      </w:r>
      <w:r>
        <w:rPr>
          <w:rFonts w:hint="eastAsia" w:ascii="仿宋" w:hAnsi="仿宋" w:eastAsia="仿宋" w:cs="仿宋"/>
          <w:color w:val="auto"/>
          <w:sz w:val="28"/>
          <w:szCs w:val="28"/>
          <w:vertAlign w:val="superscript"/>
          <w:lang w:val="en-US" w:eastAsia="zh-CN"/>
        </w:rPr>
        <w:t>[3]</w:t>
      </w:r>
      <w:r>
        <w:rPr>
          <w:rFonts w:hint="eastAsia" w:ascii="仿宋" w:hAnsi="仿宋" w:eastAsia="仿宋" w:cs="仿宋"/>
          <w:b w:val="0"/>
          <w:kern w:val="2"/>
          <w:sz w:val="28"/>
          <w:szCs w:val="28"/>
          <w:lang w:val="en-US" w:eastAsia="zh-CN" w:bidi="ar-SA"/>
        </w:rPr>
        <w:t>。而在脱贫攻坚期间，我国形成了大量的扶贫资产，为农村集体经济发展、农民持续增收奠定了坚实基础。在全面推进乡村振兴新阶段，如何管好、用好、盘活这些扶贫项目资产，是巩固拓展脱贫攻坚成果的关键内容，也是提升脱贫地区内生发展动力的有效路径</w:t>
      </w:r>
      <w:r>
        <w:rPr>
          <w:rFonts w:hint="eastAsia" w:ascii="仿宋" w:hAnsi="仿宋" w:eastAsia="仿宋" w:cs="仿宋"/>
          <w:color w:val="auto"/>
          <w:sz w:val="28"/>
          <w:szCs w:val="28"/>
          <w:vertAlign w:val="superscript"/>
          <w:lang w:val="en-US" w:eastAsia="zh-CN"/>
        </w:rPr>
        <w:t>[4]</w:t>
      </w:r>
      <w:r>
        <w:rPr>
          <w:rFonts w:hint="eastAsia" w:ascii="仿宋" w:hAnsi="仿宋" w:eastAsia="仿宋" w:cs="仿宋"/>
          <w:b w:val="0"/>
          <w:kern w:val="2"/>
          <w:sz w:val="28"/>
          <w:szCs w:val="28"/>
          <w:lang w:val="en-US" w:eastAsia="zh-CN" w:bidi="ar-SA"/>
        </w:rPr>
        <w:t>。</w:t>
      </w:r>
    </w:p>
    <w:p>
      <w:pPr>
        <w:pStyle w:val="3"/>
        <w:keepNext w:val="0"/>
        <w:keepLines w:val="0"/>
        <w:pageBreakBefore w:val="0"/>
        <w:widowControl w:val="0"/>
        <w:numPr>
          <w:ilvl w:val="0"/>
          <w:numId w:val="1"/>
        </w:numPr>
        <w:kinsoku/>
        <w:wordWrap/>
        <w:overflowPunct/>
        <w:topLinePunct w:val="0"/>
        <w:autoSpaceDE/>
        <w:autoSpaceDN/>
        <w:bidi w:val="0"/>
        <w:spacing w:line="560" w:lineRule="exact"/>
        <w:ind w:firstLine="560" w:firstLineChars="200"/>
        <w:textAlignment w:val="auto"/>
        <w:rPr>
          <w:rFonts w:hint="eastAsia" w:ascii="楷体" w:hAnsi="楷体" w:eastAsia="楷体" w:cs="楷体"/>
          <w:b w:val="0"/>
          <w:kern w:val="2"/>
          <w:sz w:val="28"/>
          <w:szCs w:val="28"/>
          <w:lang w:val="en-US" w:eastAsia="zh-CN" w:bidi="ar-SA"/>
        </w:rPr>
      </w:pPr>
      <w:r>
        <w:rPr>
          <w:rFonts w:hint="eastAsia" w:ascii="楷体" w:hAnsi="楷体" w:eastAsia="楷体" w:cs="楷体"/>
          <w:b w:val="0"/>
          <w:kern w:val="2"/>
          <w:sz w:val="28"/>
          <w:szCs w:val="28"/>
          <w:lang w:val="en-US" w:eastAsia="zh-CN" w:bidi="ar-SA"/>
        </w:rPr>
        <w:t>在扶贫项目审计研究方面</w:t>
      </w:r>
    </w:p>
    <w:p>
      <w:pPr>
        <w:pStyle w:val="3"/>
        <w:keepNext w:val="0"/>
        <w:keepLines w:val="0"/>
        <w:pageBreakBefore w:val="0"/>
        <w:widowControl w:val="0"/>
        <w:numPr>
          <w:ilvl w:val="0"/>
          <w:numId w:val="0"/>
        </w:numPr>
        <w:kinsoku/>
        <w:wordWrap/>
        <w:overflowPunct/>
        <w:topLinePunct w:val="0"/>
        <w:autoSpaceDE/>
        <w:autoSpaceDN/>
        <w:bidi w:val="0"/>
        <w:spacing w:line="560" w:lineRule="exact"/>
        <w:ind w:firstLine="560" w:firstLineChars="200"/>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有学者在研究中对扶贫资金审计的重要性做出了高度评价，他们认为扶贫资金审计是实现精准扶贫目标的保障与支撑、确保资金资源安全的前提与手段，并且扶贫专项资金审计是落实精准扶贫精神的关键环节</w:t>
      </w:r>
      <w:r>
        <w:rPr>
          <w:rFonts w:hint="eastAsia" w:ascii="仿宋" w:hAnsi="仿宋" w:eastAsia="仿宋" w:cs="仿宋"/>
          <w:color w:val="auto"/>
          <w:sz w:val="28"/>
          <w:szCs w:val="28"/>
          <w:vertAlign w:val="superscript"/>
          <w:lang w:val="en-US" w:eastAsia="zh-CN"/>
        </w:rPr>
        <w:t>[5]</w:t>
      </w:r>
      <w:r>
        <w:rPr>
          <w:rFonts w:hint="eastAsia" w:ascii="仿宋" w:hAnsi="仿宋" w:eastAsia="仿宋" w:cs="仿宋"/>
          <w:b w:val="0"/>
          <w:kern w:val="2"/>
          <w:sz w:val="28"/>
          <w:szCs w:val="28"/>
          <w:lang w:val="en-US" w:eastAsia="zh-CN" w:bidi="ar-SA"/>
        </w:rPr>
        <w:t>。 部分学者认为扶贫专项资金审计在提高扶贫专项资金的利用效率、维护财政经济秩序、保障扶贫政策落实等方面的作用必不可少</w:t>
      </w:r>
      <w:r>
        <w:rPr>
          <w:rFonts w:hint="eastAsia" w:ascii="仿宋" w:hAnsi="仿宋" w:eastAsia="仿宋" w:cs="仿宋"/>
          <w:color w:val="auto"/>
          <w:sz w:val="28"/>
          <w:szCs w:val="28"/>
          <w:vertAlign w:val="superscript"/>
          <w:lang w:val="en-US" w:eastAsia="zh-CN"/>
        </w:rPr>
        <w:t>[6]</w:t>
      </w:r>
      <w:r>
        <w:rPr>
          <w:rFonts w:hint="eastAsia" w:ascii="仿宋" w:hAnsi="仿宋" w:eastAsia="仿宋" w:cs="仿宋"/>
          <w:b w:val="0"/>
          <w:kern w:val="2"/>
          <w:sz w:val="28"/>
          <w:szCs w:val="28"/>
          <w:lang w:val="en-US" w:eastAsia="zh-CN" w:bidi="ar-SA"/>
        </w:rPr>
        <w:t>。扶贫审计可以推动精准脱贫，全面脱贫，能够保证在最短时间内攻克问题，通过对专项资金的抽查，多部门交叉审查的方式确保专项资金用到实处，防止脱贫工作中出现数字脱贫情况</w:t>
      </w:r>
      <w:r>
        <w:rPr>
          <w:rFonts w:hint="eastAsia" w:ascii="仿宋" w:hAnsi="仿宋" w:eastAsia="仿宋" w:cs="仿宋"/>
          <w:color w:val="auto"/>
          <w:sz w:val="28"/>
          <w:szCs w:val="28"/>
          <w:vertAlign w:val="superscript"/>
          <w:lang w:val="en-US" w:eastAsia="zh-CN"/>
        </w:rPr>
        <w:t>[7]</w:t>
      </w:r>
      <w:r>
        <w:rPr>
          <w:rFonts w:hint="eastAsia" w:ascii="仿宋" w:hAnsi="仿宋" w:eastAsia="仿宋" w:cs="仿宋"/>
          <w:b w:val="0"/>
          <w:kern w:val="2"/>
          <w:sz w:val="28"/>
          <w:szCs w:val="28"/>
          <w:lang w:val="en-US" w:eastAsia="zh-CN" w:bidi="ar-SA"/>
        </w:rPr>
        <w:t>。在扶贫项目审计重点方面，有学者指出扶贫专项资金的绩效审计以资金的公平性、普惠性和动员性为起点，其次是经济性、效果和效率，审计的范围包括从立项、使用到后续评价的全过程</w:t>
      </w:r>
      <w:r>
        <w:rPr>
          <w:rFonts w:hint="eastAsia" w:ascii="仿宋" w:hAnsi="仿宋" w:eastAsia="仿宋" w:cs="仿宋"/>
          <w:color w:val="auto"/>
          <w:sz w:val="28"/>
          <w:szCs w:val="28"/>
          <w:vertAlign w:val="superscript"/>
          <w:lang w:val="en-US" w:eastAsia="zh-CN"/>
        </w:rPr>
        <w:t>[8]</w:t>
      </w:r>
      <w:r>
        <w:rPr>
          <w:rFonts w:hint="eastAsia" w:ascii="仿宋" w:hAnsi="仿宋" w:eastAsia="仿宋" w:cs="仿宋"/>
          <w:b w:val="0"/>
          <w:kern w:val="2"/>
          <w:sz w:val="28"/>
          <w:szCs w:val="28"/>
          <w:lang w:val="en-US" w:eastAsia="zh-CN" w:bidi="ar-SA"/>
        </w:rPr>
        <w:t>。</w:t>
      </w:r>
    </w:p>
    <w:p>
      <w:pPr>
        <w:pStyle w:val="3"/>
        <w:keepNext w:val="0"/>
        <w:keepLines w:val="0"/>
        <w:pageBreakBefore w:val="0"/>
        <w:widowControl w:val="0"/>
        <w:numPr>
          <w:ilvl w:val="0"/>
          <w:numId w:val="1"/>
        </w:numPr>
        <w:kinsoku/>
        <w:wordWrap/>
        <w:overflowPunct/>
        <w:topLinePunct w:val="0"/>
        <w:autoSpaceDE/>
        <w:autoSpaceDN/>
        <w:bidi w:val="0"/>
        <w:spacing w:line="560" w:lineRule="exact"/>
        <w:ind w:left="0" w:leftChars="0" w:firstLine="560" w:firstLineChars="200"/>
        <w:textAlignment w:val="auto"/>
        <w:rPr>
          <w:rFonts w:hint="eastAsia" w:ascii="楷体" w:hAnsi="楷体" w:eastAsia="楷体" w:cs="楷体"/>
          <w:b w:val="0"/>
          <w:kern w:val="2"/>
          <w:sz w:val="28"/>
          <w:szCs w:val="28"/>
          <w:lang w:val="en-US" w:eastAsia="zh-CN" w:bidi="ar-SA"/>
        </w:rPr>
      </w:pPr>
      <w:r>
        <w:rPr>
          <w:rFonts w:hint="eastAsia" w:ascii="楷体" w:hAnsi="楷体" w:eastAsia="楷体" w:cs="楷体"/>
          <w:b w:val="0"/>
          <w:kern w:val="2"/>
          <w:sz w:val="28"/>
          <w:szCs w:val="28"/>
          <w:lang w:val="en-US" w:eastAsia="zh-CN" w:bidi="ar-SA"/>
        </w:rPr>
        <w:t>在扶贫项目资产审计方面</w:t>
      </w:r>
    </w:p>
    <w:p>
      <w:pPr>
        <w:pStyle w:val="3"/>
        <w:keepNext w:val="0"/>
        <w:keepLines w:val="0"/>
        <w:pageBreakBefore w:val="0"/>
        <w:widowControl w:val="0"/>
        <w:numPr>
          <w:ilvl w:val="0"/>
          <w:numId w:val="0"/>
        </w:numPr>
        <w:kinsoku/>
        <w:wordWrap/>
        <w:overflowPunct/>
        <w:topLinePunct w:val="0"/>
        <w:autoSpaceDE/>
        <w:autoSpaceDN/>
        <w:bidi w:val="0"/>
        <w:spacing w:line="560" w:lineRule="exact"/>
        <w:ind w:firstLine="560" w:firstLineChars="200"/>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目前对该领域查询到的研究成果较少。有学者指出，扶贫项目资产后续管理，最关键的一点是要明确“谁的资产”和“归谁管”的问题，这就涉及项目资产的确权登记和落实后续管理责任等方面内容</w:t>
      </w:r>
      <w:r>
        <w:rPr>
          <w:rFonts w:hint="eastAsia" w:ascii="仿宋" w:hAnsi="仿宋" w:eastAsia="仿宋" w:cs="仿宋"/>
          <w:color w:val="auto"/>
          <w:sz w:val="28"/>
          <w:szCs w:val="28"/>
          <w:vertAlign w:val="superscript"/>
          <w:lang w:val="en-US" w:eastAsia="zh-CN"/>
        </w:rPr>
        <w:t>[9]</w:t>
      </w:r>
      <w:r>
        <w:rPr>
          <w:rFonts w:hint="eastAsia" w:ascii="仿宋" w:hAnsi="仿宋" w:eastAsia="仿宋" w:cs="仿宋"/>
          <w:b w:val="0"/>
          <w:kern w:val="2"/>
          <w:sz w:val="28"/>
          <w:szCs w:val="28"/>
          <w:lang w:val="en-US" w:eastAsia="zh-CN" w:bidi="ar-SA"/>
        </w:rPr>
        <w:t>。在实践中,经营性扶贫资产存在底数不清、收益分配机制薄弱、可持续性不强、农民参与不足和配套体制机制不完善问题。管护主体责任的“错位”与“虚化”、扶贫资产“超常规”形成与“常态化”管护的潜在矛盾、政府服务职责的发挥还不够、村集体经济组织的主体作用不突出等构成经营性扶贫资产长效管护障碍的原因</w:t>
      </w:r>
      <w:r>
        <w:rPr>
          <w:rFonts w:hint="eastAsia" w:ascii="仿宋" w:hAnsi="仿宋" w:eastAsia="仿宋" w:cs="仿宋"/>
          <w:color w:val="auto"/>
          <w:sz w:val="28"/>
          <w:szCs w:val="28"/>
          <w:vertAlign w:val="superscript"/>
          <w:lang w:val="en-US" w:eastAsia="zh-CN"/>
        </w:rPr>
        <w:t>[10]</w:t>
      </w:r>
      <w:r>
        <w:rPr>
          <w:rFonts w:hint="eastAsia" w:ascii="仿宋" w:hAnsi="仿宋" w:eastAsia="仿宋" w:cs="仿宋"/>
          <w:b w:val="0"/>
          <w:kern w:val="2"/>
          <w:sz w:val="28"/>
          <w:szCs w:val="28"/>
          <w:lang w:val="en-US" w:eastAsia="zh-CN" w:bidi="ar-SA"/>
        </w:rPr>
        <w:t>。有学者结合近年来在扶贫审计和涉农审计中发现的扶贫资产底数不清、权责不明等问题，分析扶贫项目资产管理存在问题的原因，并结合乡村振兴工作提出全面加强扶贫项目资产后续管理的建议与对策</w:t>
      </w:r>
      <w:r>
        <w:rPr>
          <w:rFonts w:hint="eastAsia" w:ascii="仿宋" w:hAnsi="仿宋" w:eastAsia="仿宋" w:cs="仿宋"/>
          <w:color w:val="auto"/>
          <w:sz w:val="28"/>
          <w:szCs w:val="28"/>
          <w:vertAlign w:val="superscript"/>
          <w:lang w:val="en-US" w:eastAsia="zh-CN"/>
        </w:rPr>
        <w:t>[11]</w:t>
      </w:r>
      <w:r>
        <w:rPr>
          <w:rFonts w:hint="eastAsia" w:ascii="仿宋" w:hAnsi="仿宋" w:eastAsia="仿宋" w:cs="仿宋"/>
          <w:b w:val="0"/>
          <w:kern w:val="2"/>
          <w:sz w:val="28"/>
          <w:szCs w:val="28"/>
          <w:lang w:val="en-US" w:eastAsia="zh-CN" w:bidi="ar-SA"/>
        </w:rPr>
        <w:t>。</w:t>
      </w:r>
    </w:p>
    <w:p>
      <w:pPr>
        <w:pStyle w:val="3"/>
        <w:keepNext w:val="0"/>
        <w:keepLines w:val="0"/>
        <w:pageBreakBefore w:val="0"/>
        <w:widowControl w:val="0"/>
        <w:kinsoku/>
        <w:wordWrap/>
        <w:overflowPunct/>
        <w:topLinePunct w:val="0"/>
        <w:autoSpaceDE/>
        <w:autoSpaceDN/>
        <w:bidi w:val="0"/>
        <w:spacing w:line="560" w:lineRule="exact"/>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 xml:space="preserve">     综上，国内外学者在扶贫项目管理、扶贫项目审计方面取得了一定的研究成果和实践经验，但在扶贫项目资产审计及后续管理方面的研究成果特别是计算机技术在审计过程中的应用研究仍较少。因此，本课题对扶贫项目资产管理审计进行研究并探索计算机技术在审计过程中的应用，具有一定的现实意义，可以为相关单位提供理论支持和实践参考。</w:t>
      </w:r>
    </w:p>
    <w:p>
      <w:pPr>
        <w:pStyle w:val="7"/>
        <w:keepNext w:val="0"/>
        <w:keepLines w:val="0"/>
        <w:pageBreakBefore w:val="0"/>
        <w:widowControl w:val="0"/>
        <w:kinsoku/>
        <w:wordWrap/>
        <w:overflowPunct/>
        <w:topLinePunct w:val="0"/>
        <w:autoSpaceDE/>
        <w:autoSpaceDN/>
        <w:bidi w:val="0"/>
        <w:adjustRightInd/>
        <w:spacing w:line="560" w:lineRule="exact"/>
        <w:textAlignment w:val="auto"/>
        <w:rPr>
          <w:rFonts w:hint="eastAsia" w:ascii="黑体" w:hAnsi="黑体" w:eastAsia="黑体" w:cs="黑体"/>
          <w:sz w:val="28"/>
          <w:szCs w:val="28"/>
          <w:lang w:val="en-US" w:eastAsia="zh-CN"/>
        </w:rPr>
      </w:pPr>
      <w:r>
        <w:rPr>
          <w:rFonts w:hint="eastAsia" w:ascii="仿宋" w:hAnsi="仿宋" w:eastAsia="仿宋" w:cs="仿宋"/>
          <w:b w:val="0"/>
          <w:kern w:val="2"/>
          <w:sz w:val="28"/>
          <w:szCs w:val="28"/>
          <w:lang w:val="en-US" w:eastAsia="zh-CN" w:bidi="ar-SA"/>
        </w:rPr>
        <w:t xml:space="preserve">    </w:t>
      </w:r>
      <w:bookmarkStart w:id="20" w:name="_Toc1824473620_WPSOffice_Level1"/>
      <w:r>
        <w:rPr>
          <w:rFonts w:hint="eastAsia" w:ascii="黑体" w:hAnsi="黑体" w:eastAsia="黑体" w:cs="黑体"/>
          <w:b w:val="0"/>
          <w:kern w:val="2"/>
          <w:sz w:val="28"/>
          <w:szCs w:val="28"/>
          <w:lang w:val="en-US" w:eastAsia="zh-CN" w:bidi="ar-SA"/>
        </w:rPr>
        <w:t>三、</w:t>
      </w:r>
      <w:r>
        <w:rPr>
          <w:rFonts w:hint="eastAsia" w:ascii="黑体" w:hAnsi="黑体" w:eastAsia="黑体" w:cs="黑体"/>
          <w:b w:val="0"/>
          <w:bCs w:val="0"/>
          <w:kern w:val="2"/>
          <w:sz w:val="28"/>
          <w:szCs w:val="28"/>
          <w:lang w:val="en-US" w:eastAsia="zh-CN" w:bidi="ar-SA"/>
        </w:rPr>
        <w:t>扶贫资产的形成及管理现状</w:t>
      </w:r>
      <w:bookmarkEnd w:id="20"/>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仿宋" w:hAnsi="仿宋" w:eastAsia="仿宋" w:cs="仿宋"/>
          <w:sz w:val="28"/>
          <w:szCs w:val="28"/>
          <w:lang w:val="en-US" w:eastAsia="zh-CN"/>
        </w:rPr>
      </w:pPr>
      <w:r>
        <w:rPr>
          <w:rFonts w:hint="eastAsia" w:ascii="仿宋" w:hAnsi="仿宋" w:eastAsia="仿宋" w:cs="仿宋"/>
          <w:b w:val="0"/>
          <w:bCs w:val="0"/>
          <w:kern w:val="2"/>
          <w:sz w:val="28"/>
          <w:szCs w:val="28"/>
          <w:lang w:val="en-US" w:eastAsia="zh-CN" w:bidi="ar-SA"/>
        </w:rPr>
        <w:t>党的十八大以来，国家持续加大扶贫投入力度，实施了大量的扶贫项目，形成了较大规模的资产，极大地改善了贫困地区生产生活条件，为贫困户脱贫增收、打赢脱贫攻坚奠定了重要的基础。但是由于我国扶贫资金来源渠道多、投向广，所形成的扶贫资产分布广泛、类型多样，既包括公益性扶贫资产和经营性扶贫资产，也包括到户类扶贫资产。目前国家的扶贫资产普遍存在</w:t>
      </w:r>
      <w:r>
        <w:rPr>
          <w:rFonts w:hint="eastAsia" w:ascii="仿宋" w:hAnsi="仿宋" w:eastAsia="仿宋" w:cs="仿宋"/>
          <w:sz w:val="28"/>
          <w:szCs w:val="28"/>
          <w:lang w:val="en-US" w:eastAsia="zh-CN"/>
        </w:rPr>
        <w:t>资产权属界定不清晰，摸</w:t>
      </w:r>
      <w:r>
        <w:rPr>
          <w:rFonts w:hint="eastAsia" w:ascii="仿宋" w:hAnsi="仿宋" w:eastAsia="仿宋" w:cs="仿宋"/>
          <w:b w:val="0"/>
          <w:bCs w:val="0"/>
          <w:kern w:val="2"/>
          <w:sz w:val="28"/>
          <w:szCs w:val="28"/>
          <w:lang w:val="en-US" w:eastAsia="zh-CN" w:bidi="ar-SA"/>
        </w:rPr>
        <w:t>家底不清；管护机制缺失、资产闲置和流失</w:t>
      </w:r>
      <w:r>
        <w:rPr>
          <w:rFonts w:hint="eastAsia" w:ascii="仿宋" w:hAnsi="仿宋" w:eastAsia="仿宋" w:cs="仿宋"/>
          <w:sz w:val="28"/>
          <w:szCs w:val="28"/>
          <w:lang w:val="en-US" w:eastAsia="zh-CN"/>
        </w:rPr>
        <w:t>、后续监管不到位、收益分配不合理等问题，不利于国家巩固拓展脱贫攻坚成果、全面推进乡村振兴。</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sz w:val="28"/>
          <w:szCs w:val="28"/>
          <w:lang w:val="en-US" w:eastAsia="zh-CN"/>
        </w:rPr>
        <w:t>基于此，为加强扶贫项目资产的后续管理，确保扶贫项目在巩固拓展脱贫攻坚成果、接续全面推进乡村振兴中持续发挥效益，国务院办公厅于2021年5月转发了国家乡村振兴局、中央农办、财政部印发的《关于加强扶贫项目资产后续管理的指导意见》，这是国家层面首次明确提出要全面加强扶贫项目资产的后续管理，也为审计机关开展扶贫项目资产审计提供了制度依据。</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kern w:val="2"/>
          <w:sz w:val="28"/>
          <w:szCs w:val="28"/>
          <w:lang w:val="en-US" w:eastAsia="zh-CN" w:bidi="ar-SA"/>
        </w:rPr>
      </w:pPr>
      <w:bookmarkStart w:id="21" w:name="_Toc661925397_WPSOffice_Level1"/>
      <w:r>
        <w:rPr>
          <w:rFonts w:hint="eastAsia" w:ascii="黑体" w:hAnsi="黑体" w:eastAsia="黑体" w:cs="黑体"/>
          <w:b w:val="0"/>
          <w:bCs w:val="0"/>
          <w:kern w:val="2"/>
          <w:sz w:val="28"/>
          <w:szCs w:val="28"/>
          <w:lang w:val="en-US" w:eastAsia="zh-CN" w:bidi="ar-SA"/>
        </w:rPr>
        <w:t>四、开展扶贫项目资产管理的重要性</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（一）有利于巩固拓展脱贫攻坚成果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扶贫项目资产管理是确保扶贫项目持续发挥效益、巩固拓展脱贫攻坚成果的重要手段。通过加强资产管理，有助于确保扶贫项目资产的安全、保值增值，从而为贫困地区和群众提供持续稳定的收入来源，助力乡村振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（二）有利于提高扶贫资金使用效益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通过建立健全扶贫项目资产管理制度，可以确保扶贫资金投入到真正有需要的地方，减少资金浪费，实现扶贫资金的优化配置。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kern w:val="2"/>
          <w:sz w:val="28"/>
          <w:szCs w:val="28"/>
          <w:lang w:val="en-US" w:eastAsia="zh-CN" w:bidi="ar-SA"/>
        </w:rPr>
      </w:pPr>
      <w:r>
        <w:rPr>
          <w:rFonts w:hint="eastAsia" w:ascii="楷体" w:hAnsi="楷体" w:eastAsia="楷体" w:cs="楷体"/>
          <w:kern w:val="2"/>
          <w:sz w:val="28"/>
          <w:szCs w:val="28"/>
          <w:lang w:val="en-US" w:eastAsia="zh-CN" w:bidi="ar-SA"/>
        </w:rPr>
        <w:t>（三）有利于保障资产安全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有助于明确资产权属，完善资产登记、确权、交易等环节，防止资产流失和侵占，从而确保扶贫项目资产的安全，为贫困地区和群众提供稳定的资产保障。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（四）有利于促进资产保值增值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加强扶贫项目资产管理，可以推动扶贫项目资产的合理开发利用，提高资产运营效益，实现资产保值增值；有助于为贫困地区和群众创造更多财富，提高他们的生活水平。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（五）有利于提升乡村产业发展水平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通过扶贫项目资产管理，可以推动产业发展，提高乡村产业竞争力；这对于贫困地区来说，有助于发挥产业扶贫的优势，提升产业发展水平，实现可持续发展。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（六）有利于规范项目管理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通过加强对项目运营、收益分配等方面的监管，确保项目按照既定目标推进，提高项目管理水平。</w:t>
      </w:r>
    </w:p>
    <w:p>
      <w:pPr>
        <w:pStyle w:val="3"/>
        <w:keepNext w:val="0"/>
        <w:keepLines w:val="0"/>
        <w:pageBreakBefore w:val="0"/>
        <w:widowControl w:val="0"/>
        <w:kinsoku/>
        <w:wordWrap/>
        <w:overflowPunct/>
        <w:topLinePunct w:val="0"/>
        <w:autoSpaceDE/>
        <w:autoSpaceDN/>
        <w:bidi w:val="0"/>
        <w:spacing w:line="560" w:lineRule="exact"/>
        <w:textAlignment w:val="auto"/>
        <w:rPr>
          <w:rFonts w:hint="eastAsia" w:ascii="楷体" w:hAnsi="楷体" w:eastAsia="楷体" w:cs="楷体"/>
          <w:kern w:val="2"/>
          <w:sz w:val="28"/>
          <w:szCs w:val="28"/>
          <w:lang w:val="en-US" w:eastAsia="zh-CN" w:bidi="ar-SA"/>
        </w:rPr>
      </w:pPr>
      <w:r>
        <w:rPr>
          <w:rFonts w:hint="eastAsia" w:ascii="仿宋" w:hAnsi="仿宋" w:eastAsia="仿宋" w:cs="仿宋"/>
          <w:kern w:val="2"/>
          <w:sz w:val="28"/>
          <w:szCs w:val="28"/>
          <w:lang w:val="en-US" w:eastAsia="zh-CN" w:bidi="ar-SA"/>
        </w:rPr>
        <w:t xml:space="preserve">    </w:t>
      </w:r>
      <w:bookmarkStart w:id="22" w:name="_Toc1460804942_WPSOffice_Level1"/>
      <w:r>
        <w:rPr>
          <w:rFonts w:hint="eastAsia" w:ascii="楷体" w:hAnsi="楷体" w:eastAsia="楷体" w:cs="楷体"/>
          <w:kern w:val="2"/>
          <w:sz w:val="28"/>
          <w:szCs w:val="28"/>
          <w:lang w:val="en-US" w:eastAsia="zh-CN" w:bidi="ar-SA"/>
        </w:rPr>
        <w:t>五、扶贫项目资产管理审计概述</w:t>
      </w:r>
      <w:bookmarkEnd w:id="22"/>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（一）扶贫项目资产审计的含义及作用</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kern w:val="2"/>
          <w:sz w:val="28"/>
          <w:szCs w:val="28"/>
          <w:lang w:val="en-US" w:eastAsia="zh-CN" w:bidi="ar-SA"/>
        </w:rPr>
        <w:t>扶贫项目资产管理审计是对扶贫项目资产后续管理绩效进行审查和评估的过程。审计重点关注扶贫项目资产的资金管理、项目实施、收益分配、后续管护运营等方面。其主要目的是确保扶贫项目资产的有效利用和可持续发展，提高扶贫资金的使用效益，推动扶贫工作的高质量发展。通过扶贫项目资产管理审计，可以有效促进扶贫项目资产的合理利用和可持续发展，提高扶贫资金的使用效益，为实现脱贫攻坚目标提供有力保障。同时，也有助于发现和解决扶贫工作中存在的问题，推动扶贫政策的高质量落地。</w:t>
      </w:r>
    </w:p>
    <w:p>
      <w:pPr>
        <w:pStyle w:val="7"/>
        <w:keepNext w:val="0"/>
        <w:keepLines w:val="0"/>
        <w:pageBreakBefore w:val="0"/>
        <w:widowControl w:val="0"/>
        <w:kinsoku/>
        <w:wordWrap/>
        <w:overflowPunct/>
        <w:topLinePunct w:val="0"/>
        <w:autoSpaceDE/>
        <w:autoSpaceDN/>
        <w:bidi w:val="0"/>
        <w:adjustRightInd/>
        <w:spacing w:line="560" w:lineRule="exact"/>
        <w:textAlignment w:val="auto"/>
        <w:rPr>
          <w:rFonts w:hint="eastAsia" w:ascii="楷体" w:hAnsi="楷体" w:eastAsia="楷体" w:cs="楷体"/>
          <w:kern w:val="2"/>
          <w:sz w:val="28"/>
          <w:szCs w:val="28"/>
          <w:lang w:val="en-US" w:eastAsia="zh-CN" w:bidi="ar-SA"/>
        </w:rPr>
      </w:pPr>
      <w:r>
        <w:rPr>
          <w:rFonts w:hint="eastAsia" w:ascii="仿宋" w:hAnsi="仿宋" w:eastAsia="仿宋" w:cs="仿宋"/>
          <w:b w:val="0"/>
          <w:bCs w:val="0"/>
          <w:kern w:val="2"/>
          <w:sz w:val="28"/>
          <w:szCs w:val="28"/>
          <w:lang w:val="en-US" w:eastAsia="zh-CN" w:bidi="ar-SA"/>
        </w:rPr>
        <w:t xml:space="preserve">   </w:t>
      </w:r>
      <w:r>
        <w:rPr>
          <w:rFonts w:hint="eastAsia" w:ascii="楷体" w:hAnsi="楷体" w:eastAsia="楷体" w:cs="楷体"/>
          <w:b w:val="0"/>
          <w:bCs w:val="0"/>
          <w:kern w:val="2"/>
          <w:sz w:val="28"/>
          <w:szCs w:val="28"/>
          <w:lang w:val="en-US" w:eastAsia="zh-CN" w:bidi="ar-SA"/>
        </w:rPr>
        <w:t>（二）</w:t>
      </w:r>
      <w:r>
        <w:rPr>
          <w:rFonts w:hint="eastAsia" w:ascii="楷体" w:hAnsi="楷体" w:eastAsia="楷体" w:cs="楷体"/>
          <w:kern w:val="2"/>
          <w:sz w:val="28"/>
          <w:szCs w:val="28"/>
          <w:lang w:val="en-US" w:eastAsia="zh-CN" w:bidi="ar-SA"/>
        </w:rPr>
        <w:t>扶贫项目资产审计的特点</w:t>
      </w:r>
    </w:p>
    <w:p>
      <w:pPr>
        <w:pStyle w:val="7"/>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1.全面性。审计范围涵盖各类扶贫项目资产，包括公益性资产和经营性资产；审计内容涉及资产的形成、使用、管理和效益等方面。</w:t>
      </w:r>
    </w:p>
    <w:p>
      <w:pPr>
        <w:pStyle w:val="7"/>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2.深入性。通过查阅账目资料、实地调查、盘点资产等方式，深入剖析扶贫资产管理中的问题，确保审计结果的真实性和准确性。</w:t>
      </w:r>
    </w:p>
    <w:p>
      <w:pPr>
        <w:pStyle w:val="7"/>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3.坚持问题导向。针对审计中发现的问题，如资产闲置、管理不善、效益不高等，提出针对性的整改措施，推动问题的解决。</w:t>
      </w:r>
    </w:p>
    <w:p>
      <w:pPr>
        <w:pStyle w:val="7"/>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4.建立长效机制。督促相关部门和乡镇建立扶贫资产台账，明确管理责任，确保资产不流失、责任不脱轨、监管不断线，构建资产管理长效机制。</w:t>
      </w:r>
    </w:p>
    <w:p>
      <w:pPr>
        <w:pStyle w:val="3"/>
        <w:keepNext w:val="0"/>
        <w:keepLines w:val="0"/>
        <w:pageBreakBefore w:val="0"/>
        <w:widowControl w:val="0"/>
        <w:kinsoku/>
        <w:wordWrap/>
        <w:overflowPunct/>
        <w:topLinePunct w:val="0"/>
        <w:autoSpaceDE/>
        <w:autoSpaceDN/>
        <w:bidi w:val="0"/>
        <w:adjustRightInd/>
        <w:spacing w:line="560" w:lineRule="exact"/>
        <w:ind w:firstLine="524"/>
        <w:textAlignment w:val="auto"/>
        <w:rPr>
          <w:rFonts w:hint="eastAsia" w:ascii="楷体" w:hAnsi="楷体" w:eastAsia="楷体" w:cs="楷体"/>
          <w:b w:val="0"/>
          <w:bCs w:val="0"/>
          <w:kern w:val="2"/>
          <w:sz w:val="28"/>
          <w:szCs w:val="28"/>
          <w:lang w:val="en-US" w:eastAsia="zh-CN" w:bidi="ar-SA"/>
        </w:rPr>
      </w:pPr>
      <w:r>
        <w:rPr>
          <w:rFonts w:hint="eastAsia" w:ascii="楷体" w:hAnsi="楷体" w:eastAsia="楷体" w:cs="楷体"/>
          <w:b w:val="0"/>
          <w:bCs w:val="0"/>
          <w:kern w:val="2"/>
          <w:sz w:val="28"/>
          <w:szCs w:val="28"/>
          <w:lang w:val="en-US" w:eastAsia="zh-CN" w:bidi="ar-SA"/>
        </w:rPr>
        <w:t>（三）计算机技术在扶贫资产管理审计中的应用概述</w:t>
      </w:r>
    </w:p>
    <w:p>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0" w:firstLineChars="200"/>
        <w:jc w:val="both"/>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计算机技术是指用于处理、存储、传输和表达信息的计算机系统和设备的应用技术，计算机技术具有广泛的应用领域。在扶贫项目资产管理审计中，可以利用计算机技术对大量的扶贫资产数据进行整理和分析，以便审计人员更好地理解数据、发现问题，能够更客观地揭示扶贫项目资产管理中存在的问题，为后续整改工作提供有力支持。例如，利用数据挖掘技术找出扶贫资产管理的薄弱环节，或者利用可视化技术展示扶贫资产的分布情况等等。</w:t>
      </w:r>
    </w:p>
    <w:p>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0" w:firstLineChars="200"/>
        <w:jc w:val="both"/>
        <w:textAlignment w:val="auto"/>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总的来说，计算机技术在扶贫资产管理审计中的应用，可以提高审计效率、降低审计成本，同时也有助于提高审计的准确性和全面性。</w:t>
      </w:r>
    </w:p>
    <w:p>
      <w:pPr>
        <w:keepNext w:val="0"/>
        <w:keepLines w:val="0"/>
        <w:pageBreakBefore w:val="0"/>
        <w:widowControl w:val="0"/>
        <w:kinsoku/>
        <w:wordWrap/>
        <w:overflowPunct/>
        <w:topLinePunct w:val="0"/>
        <w:autoSpaceDE/>
        <w:autoSpaceDN/>
        <w:bidi w:val="0"/>
        <w:spacing w:line="560" w:lineRule="exac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 xml:space="preserve">    </w:t>
      </w:r>
      <w:bookmarkStart w:id="23" w:name="_Toc649960411_WPSOffice_Level1"/>
      <w:r>
        <w:rPr>
          <w:rFonts w:hint="eastAsia" w:ascii="黑体" w:hAnsi="黑体" w:eastAsia="黑体" w:cs="黑体"/>
          <w:b w:val="0"/>
          <w:bCs w:val="0"/>
          <w:kern w:val="2"/>
          <w:sz w:val="28"/>
          <w:szCs w:val="28"/>
          <w:lang w:val="en-US" w:eastAsia="zh-CN" w:bidi="ar-SA"/>
        </w:rPr>
        <w:t>六、</w:t>
      </w:r>
      <w:r>
        <w:rPr>
          <w:rFonts w:hint="eastAsia" w:ascii="黑体" w:hAnsi="黑体" w:eastAsia="黑体" w:cs="黑体"/>
          <w:b w:val="0"/>
          <w:kern w:val="2"/>
          <w:sz w:val="28"/>
          <w:szCs w:val="28"/>
          <w:lang w:val="en-US" w:eastAsia="zh-CN" w:bidi="ar-SA"/>
        </w:rPr>
        <w:t>计算机技术在L市Y区扶贫项目资产管理审计运用实例</w:t>
      </w:r>
      <w:bookmarkEnd w:id="23"/>
    </w:p>
    <w:p>
      <w:pPr>
        <w:pStyle w:val="7"/>
        <w:keepNext w:val="0"/>
        <w:keepLines w:val="0"/>
        <w:pageBreakBefore w:val="0"/>
        <w:widowControl w:val="0"/>
        <w:kinsoku/>
        <w:wordWrap/>
        <w:overflowPunct/>
        <w:topLinePunct w:val="0"/>
        <w:autoSpaceDE/>
        <w:autoSpaceDN/>
        <w:bidi w:val="0"/>
        <w:adjustRightInd/>
        <w:spacing w:line="560" w:lineRule="exact"/>
        <w:textAlignment w:val="auto"/>
        <w:rPr>
          <w:rFonts w:hint="eastAsia" w:ascii="楷体" w:hAnsi="楷体" w:eastAsia="楷体" w:cs="楷体"/>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 xml:space="preserve">   </w:t>
      </w:r>
      <w:r>
        <w:rPr>
          <w:rFonts w:hint="eastAsia" w:ascii="楷体" w:hAnsi="楷体" w:eastAsia="楷体" w:cs="楷体"/>
          <w:b w:val="0"/>
          <w:bCs w:val="0"/>
          <w:kern w:val="2"/>
          <w:sz w:val="28"/>
          <w:szCs w:val="28"/>
          <w:lang w:val="en-US" w:eastAsia="zh-CN" w:bidi="ar-SA"/>
        </w:rPr>
        <w:t>（一）项目基本情况</w:t>
      </w:r>
    </w:p>
    <w:p>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L市Y区审计局根据审计工作计划，对该区2018年至2020年扶贫项目资产管理进行了专项审计。“十三五”时期Y区共有脱贫村4个，建档立卡脱贫户831户，脱贫人口2872人；2018年至2020年（Y区自2018年A镇、B镇划入后开始开展扶贫工作），共投入各级扶贫资金4350.93万元（包含C区2018年转入439.42万元）；共形成扶贫项目资产111项，其中：到户类资产35个共1058.22万元，公益性资产66个共3022.71万元，经营性资产10个270万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 w:hAnsi="楷体" w:eastAsia="楷体" w:cs="楷体"/>
          <w:b w:val="0"/>
          <w:bCs w:val="0"/>
          <w:sz w:val="28"/>
          <w:szCs w:val="28"/>
          <w:lang w:val="en-US" w:eastAsia="zh-CN"/>
        </w:rPr>
      </w:pPr>
      <w:r>
        <w:rPr>
          <w:rFonts w:hint="eastAsia" w:ascii="仿宋" w:hAnsi="仿宋" w:eastAsia="仿宋" w:cs="仿宋"/>
          <w:b w:val="0"/>
          <w:bCs w:val="0"/>
          <w:kern w:val="2"/>
          <w:sz w:val="28"/>
          <w:szCs w:val="28"/>
          <w:lang w:val="en-US" w:eastAsia="zh-CN" w:bidi="ar-SA"/>
        </w:rPr>
        <w:t xml:space="preserve">   </w:t>
      </w:r>
      <w:r>
        <w:rPr>
          <w:rFonts w:hint="eastAsia" w:ascii="楷体" w:hAnsi="楷体" w:eastAsia="楷体" w:cs="楷体"/>
          <w:b w:val="0"/>
          <w:bCs w:val="0"/>
          <w:kern w:val="2"/>
          <w:sz w:val="28"/>
          <w:szCs w:val="28"/>
          <w:lang w:val="en-US" w:eastAsia="zh-CN" w:bidi="ar-SA"/>
        </w:rPr>
        <w:t>（二）审计的重点</w:t>
      </w:r>
    </w:p>
    <w:p>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 xml:space="preserve">    1.关注扶贫项目资产管理情况。围绕扶贫项目资金使用、全面摸清扶贫项目资产底数，严格对照时间范围、资金来源、受益对象等，准确把握扶贫项目资产范围。</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关注项目登记确权。关注项目资产是否按照规定进行移交、登记入账，确保账实相符。此外，还需关注资产运行现状，比对会计账簿资产登记信息与资产现状是否一致；关注经营性资产和公益性资产的确权及管理情况。对于经营性资产，要明确权属并纳入农村集体资产管理范围；对于公益性资产，要按照行业相关要求进行确权和管理。同时，还需确保后续管理责任明确，强化日常管护，确保后续管理机制发挥作用。</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3.关注项目使用及效益实现。关注经营性资产的使用效益，确保项目资产在运营过程中实现收益最大化，助力扶贫攻坚。</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4.关注资产的使用情况。揭示是否存在闲置或低效利用的问题，以便及时调整和改进管理措施；是否被违规使用或侵占，确保扶贫项目资产的安全性和合规性。</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5.关注资产管理制度是否健全。评估资产管理制度的建设情况，包括资产登记、移交、确权、运营、管护等方面的规定。此外，还需关注相关制度在实际操作中的执行情况，确保资产管理的规范运行。</w:t>
      </w:r>
    </w:p>
    <w:p>
      <w:pPr>
        <w:pStyle w:val="3"/>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 xml:space="preserve">   6.关注农田（耕地）等涉农管理、村屯污水治理、乡村风貌提升示范村建设情况</w:t>
      </w:r>
    </w:p>
    <w:p>
      <w:pPr>
        <w:pStyle w:val="4"/>
        <w:keepNext w:val="0"/>
        <w:keepLines w:val="0"/>
        <w:pageBreakBefore w:val="0"/>
        <w:widowControl w:val="0"/>
        <w:kinsoku/>
        <w:wordWrap/>
        <w:overflowPunct/>
        <w:topLinePunct w:val="0"/>
        <w:autoSpaceDE/>
        <w:autoSpaceDN/>
        <w:bidi w:val="0"/>
        <w:adjustRightInd/>
        <w:spacing w:before="0" w:after="0" w:line="560" w:lineRule="exact"/>
        <w:jc w:val="both"/>
        <w:textAlignment w:val="auto"/>
        <w:rPr>
          <w:rFonts w:hint="eastAsia" w:ascii="楷体" w:hAnsi="楷体" w:eastAsia="楷体" w:cs="楷体"/>
          <w:lang w:val="en-US" w:eastAsia="zh-CN"/>
        </w:rPr>
      </w:pPr>
      <w:r>
        <w:rPr>
          <w:rFonts w:hint="eastAsia" w:ascii="仿宋" w:hAnsi="仿宋" w:eastAsia="仿宋" w:cs="仿宋"/>
          <w:b w:val="0"/>
          <w:bCs w:val="0"/>
          <w:kern w:val="2"/>
          <w:sz w:val="28"/>
          <w:szCs w:val="28"/>
          <w:lang w:val="en-US" w:eastAsia="zh-CN" w:bidi="ar-SA"/>
        </w:rPr>
        <w:t xml:space="preserve">     </w:t>
      </w:r>
      <w:r>
        <w:rPr>
          <w:rFonts w:hint="eastAsia" w:ascii="楷体" w:hAnsi="楷体" w:eastAsia="楷体" w:cs="楷体"/>
          <w:b w:val="0"/>
          <w:bCs w:val="0"/>
          <w:kern w:val="2"/>
          <w:sz w:val="28"/>
          <w:szCs w:val="28"/>
          <w:lang w:val="en-US" w:eastAsia="zh-CN" w:bidi="ar-SA"/>
        </w:rPr>
        <w:t>（三）审计目标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1.确保资产安全。通过对扶贫资产的管理情况进行审计，确保扶贫资金的投入和使用符合规定，避免资产流失和浪费。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2.提高资产效益。检查扶贫项目资产是否按照预期发挥了效益，是否存在闲置或低效利用的情况，以及是否存在可以通过优化管理提高资产效益的潜力。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3.规范资产权属关系。审查扶贫资产的权属是否清晰，是否存在权属纠纷，以及权属变更是否符合法定程序。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4.强化资产监管。检查各级职能部门对扶贫项目资产的监管是否到位，是否存在监管漏洞和履行职责不力等问题。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5.促进资产持续发展。评估扶贫项目资产在乡村振兴中的作用，关注资产的可持续性，以及是否有利于贫困地区和贫困人口的长期发展。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lang w:val="en-US" w:eastAsia="zh-CN"/>
        </w:rPr>
      </w:pPr>
      <w:r>
        <w:rPr>
          <w:rFonts w:hint="eastAsia" w:ascii="仿宋" w:hAnsi="仿宋" w:eastAsia="仿宋" w:cs="仿宋"/>
          <w:sz w:val="28"/>
          <w:szCs w:val="28"/>
          <w:lang w:val="en-US" w:eastAsia="zh-CN"/>
        </w:rPr>
        <w:t>6.落实资产管理制度。检查扶贫资产管理制度的建设及实施情况，确保制度健全、执行有力，为扶贫项目资产管理工作提供保障。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（四）计算机技术在本次审计项目的具体运用</w:t>
      </w:r>
    </w:p>
    <w:p>
      <w:pPr>
        <w:pStyle w:val="3"/>
        <w:keepNext w:val="0"/>
        <w:keepLines w:val="0"/>
        <w:pageBreakBefore w:val="0"/>
        <w:widowControl w:val="0"/>
        <w:kinsoku/>
        <w:wordWrap/>
        <w:overflowPunct/>
        <w:topLinePunct w:val="0"/>
        <w:autoSpaceDE/>
        <w:autoSpaceDN/>
        <w:bidi w:val="0"/>
        <w:adjustRightInd/>
        <w:spacing w:line="560" w:lineRule="exact"/>
        <w:textAlignment w:val="auto"/>
        <w:rPr>
          <w:rFonts w:hint="default"/>
          <w:lang w:val="en-US" w:eastAsia="zh-CN"/>
        </w:rPr>
      </w:pPr>
      <w:r>
        <w:rPr>
          <w:rFonts w:hint="eastAsia" w:ascii="楷体" w:hAnsi="楷体" w:eastAsia="楷体" w:cs="楷体"/>
          <w:b w:val="0"/>
          <w:bCs w:val="0"/>
          <w:sz w:val="28"/>
          <w:szCs w:val="28"/>
          <w:lang w:val="en-US" w:eastAsia="zh-CN"/>
        </w:rPr>
        <w:t xml:space="preserve">    </w:t>
      </w:r>
      <w:r>
        <w:rPr>
          <w:rFonts w:hint="eastAsia" w:ascii="仿宋" w:hAnsi="仿宋" w:eastAsia="仿宋" w:cs="仿宋"/>
          <w:b w:val="0"/>
          <w:kern w:val="2"/>
          <w:sz w:val="28"/>
          <w:szCs w:val="28"/>
          <w:lang w:val="en-US" w:eastAsia="zh-CN" w:bidi="ar-SA"/>
        </w:rPr>
        <w:t>L市Y区在开展扶贫项目资产管理审计过程中，积极运用计算机Excel工具中的VLOOKUP、FIND、LEN、RIGHT、IFERROR等函数，批量处理各表格，达到项目名称统一、项目金额、信息差异迅速对比的目的，不仅提升了审计效率，也取得了良好的审计成效，主要做法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1.组建审计小组。审计组的组成既包括熟练掌握审计业务知识的人员又包括熟悉计算机应用的人员，达到业务与技术的双向融通。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2.进行数据收集。利用计算机技术从扶贫项目实施单位、乡村振兴局全国防返贫系统、公示网站上收集项目信息及扶贫项目资产台账，保证信息的完整、全面。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3.进行数据处理，具体步骤为：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①</w:t>
      </w:r>
      <w:r>
        <w:rPr>
          <w:rFonts w:hint="eastAsia" w:ascii="仿宋" w:hAnsi="仿宋" w:eastAsia="仿宋" w:cs="仿宋"/>
          <w:b w:val="0"/>
          <w:bCs w:val="0"/>
          <w:sz w:val="28"/>
          <w:szCs w:val="28"/>
          <w:lang w:val="en-US" w:eastAsia="zh-CN"/>
        </w:rPr>
        <w:t>通过Excel表格，综合使用FIND、LEN、RIGHT、IFERROR等函数，对收集到的信息进行批量处理，使项目名称统一格式，便于之后项目信息的对比查找。</w:t>
      </w:r>
    </w:p>
    <w:p>
      <w:pPr>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2529205" cy="799465"/>
            <wp:effectExtent l="0" t="0" r="635" b="8255"/>
            <wp:docPr id="2" name="图片 2" descr="5813819b7e4b783fc96e48f7825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813819b7e4b783fc96e48f78253679"/>
                    <pic:cNvPicPr>
                      <a:picLocks noChangeAspect="1"/>
                    </pic:cNvPicPr>
                  </pic:nvPicPr>
                  <pic:blipFill>
                    <a:blip r:embed="rId5"/>
                    <a:stretch>
                      <a:fillRect/>
                    </a:stretch>
                  </pic:blipFill>
                  <pic:spPr>
                    <a:xfrm>
                      <a:off x="0" y="0"/>
                      <a:ext cx="2529205" cy="799465"/>
                    </a:xfrm>
                    <a:prstGeom prst="rect">
                      <a:avLst/>
                    </a:prstGeom>
                  </pic:spPr>
                </pic:pic>
              </a:graphicData>
            </a:graphic>
          </wp:inline>
        </w:drawing>
      </w: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lang w:val="en-US" w:eastAsia="zh-CN"/>
        </w:rPr>
        <w:drawing>
          <wp:inline distT="0" distB="0" distL="114300" distR="114300">
            <wp:extent cx="2340610" cy="947420"/>
            <wp:effectExtent l="0" t="0" r="6350" b="12700"/>
            <wp:docPr id="3" name="图片 3" descr="dee3cb0e02c389d69adcbd4f0d8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ee3cb0e02c389d69adcbd4f0d88724"/>
                    <pic:cNvPicPr>
                      <a:picLocks noChangeAspect="1"/>
                    </pic:cNvPicPr>
                  </pic:nvPicPr>
                  <pic:blipFill>
                    <a:blip r:embed="rId6"/>
                    <a:stretch>
                      <a:fillRect/>
                    </a:stretch>
                  </pic:blipFill>
                  <pic:spPr>
                    <a:xfrm>
                      <a:off x="0" y="0"/>
                      <a:ext cx="2340610" cy="947420"/>
                    </a:xfrm>
                    <a:prstGeom prst="rect">
                      <a:avLst/>
                    </a:prstGeom>
                  </pic:spPr>
                </pic:pic>
              </a:graphicData>
            </a:graphic>
          </wp:inline>
        </w:drawing>
      </w:r>
      <w:r>
        <w:rPr>
          <w:rFonts w:hint="eastAsia" w:ascii="仿宋" w:hAnsi="仿宋" w:eastAsia="仿宋" w:cs="仿宋"/>
          <w:b w:val="0"/>
          <w:bCs w:val="0"/>
          <w:sz w:val="28"/>
          <w:szCs w:val="28"/>
          <w:lang w:val="en-US" w:eastAsia="zh-CN"/>
        </w:rPr>
        <w:t xml:space="preserve">  </w:t>
      </w:r>
    </w:p>
    <w:p>
      <w:pPr>
        <w:pStyle w:val="2"/>
        <w:ind w:firstLine="840" w:firstLineChars="3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图</w:t>
      </w:r>
      <w:r>
        <w:rPr>
          <w:rFonts w:hint="eastAsia" w:ascii="仿宋" w:hAnsi="仿宋" w:eastAsia="仿宋" w:cs="仿宋"/>
          <w:b w:val="0"/>
          <w:bCs w:val="0"/>
          <w:sz w:val="28"/>
          <w:szCs w:val="28"/>
          <w:lang w:val="en-US" w:eastAsia="zh-CN"/>
        </w:rPr>
        <w:t xml:space="preserve">1（扶贫资产台账）             图2（扶贫资产公示表格） </w:t>
      </w:r>
    </w:p>
    <w:p>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kern w:val="2"/>
          <w:sz w:val="28"/>
          <w:szCs w:val="28"/>
          <w:lang w:val="en-US" w:eastAsia="zh-CN" w:bidi="ar-SA"/>
        </w:rPr>
        <w:t xml:space="preserve"> </w:t>
      </w:r>
      <w:r>
        <w:rPr>
          <w:rFonts w:hint="default" w:ascii="仿宋" w:hAnsi="仿宋" w:eastAsia="仿宋" w:cs="仿宋"/>
          <w:b w:val="0"/>
          <w:bCs w:val="0"/>
          <w:kern w:val="2"/>
          <w:sz w:val="28"/>
          <w:szCs w:val="28"/>
          <w:lang w:val="en-US" w:eastAsia="zh-CN" w:bidi="ar-SA"/>
        </w:rPr>
        <w:t>②</w:t>
      </w:r>
      <w:r>
        <w:rPr>
          <w:rFonts w:hint="eastAsia" w:ascii="仿宋" w:hAnsi="仿宋" w:eastAsia="仿宋" w:cs="仿宋"/>
          <w:b w:val="0"/>
          <w:bCs w:val="0"/>
          <w:kern w:val="2"/>
          <w:sz w:val="28"/>
          <w:szCs w:val="28"/>
          <w:lang w:val="en-US" w:eastAsia="zh-CN" w:bidi="ar-SA"/>
        </w:rPr>
        <w:t xml:space="preserve"> 操作步骤 ：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步骤一：（假设项目名称单元格所在位置为H38）用FIND 函数查找一个字符串，在另一个字符串（H38单元格的内容）中的位置。它返回找到的第一个匹配字符的位置。如果H38中没有“镇”，则FIND函数会返回一个错误。</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步骤二：用LEN 函数返回H38单元格中字符串的长度</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步骤三：LEN(H38) - FIND("镇", H38)，通过从字符串的总长度中减去“镇”字符的位置来得到的。如果H38中没有“镇”，则由于FIND函数返回错误，这个表达式也会出错。</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步骤四：RIGHT(H38, LEN(H38) - FIND("镇", H38))，用RIGHT 函数从字符串的右侧提取指定数量的字符，H38单元格内容的右侧提取从“镇”到末尾的所有字符。如果H38中没有“镇”，RIGHT函数将不会执行，因为前面的表达式返回了错误。</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步骤五：IFERROR(..., H38)，IFERROR 函数用于捕获并处理公式中的错误。如果公式中的任何部分返回错误（在这种情况下，可能是由于H38中没有“镇”），则IFERROR函数会返回其第二个参数作为替代结果，如果发生错误，它将返回H38单元格的原始内容。</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步骤六：执行完之后就会有如图3所示效果，如果有镇，将会显示镇之后的字，如果没有镇，将会显示原来的名称（如图3所示），如果有两个及以上的镇字，就通过执行过后的单元格再执行一次即可。最后下拉，把生成的项目名称替换原来的名称；最后对其它表格执行此项操作。</w:t>
      </w:r>
    </w:p>
    <w:p>
      <w:pPr>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lang w:val="en-US" w:eastAsia="zh-CN"/>
        </w:rPr>
        <w:drawing>
          <wp:inline distT="0" distB="0" distL="114300" distR="114300">
            <wp:extent cx="4833620" cy="2750185"/>
            <wp:effectExtent l="0" t="0" r="12700" b="8255"/>
            <wp:docPr id="4" name="图片 4" descr="5212e8b88baaa700d567b1aafb2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212e8b88baaa700d567b1aafb20650"/>
                    <pic:cNvPicPr>
                      <a:picLocks noChangeAspect="1"/>
                    </pic:cNvPicPr>
                  </pic:nvPicPr>
                  <pic:blipFill>
                    <a:blip r:embed="rId7"/>
                    <a:stretch>
                      <a:fillRect/>
                    </a:stretch>
                  </pic:blipFill>
                  <pic:spPr>
                    <a:xfrm>
                      <a:off x="0" y="0"/>
                      <a:ext cx="4833620" cy="2750185"/>
                    </a:xfrm>
                    <a:prstGeom prst="rect">
                      <a:avLst/>
                    </a:prstGeom>
                  </pic:spPr>
                </pic:pic>
              </a:graphicData>
            </a:graphic>
          </wp:inline>
        </w:drawing>
      </w:r>
    </w:p>
    <w:p>
      <w:pPr>
        <w:pStyle w:val="2"/>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lang w:eastAsia="zh-CN"/>
        </w:rPr>
        <w:t>图</w:t>
      </w:r>
      <w:r>
        <w:rPr>
          <w:rFonts w:hint="eastAsia" w:ascii="仿宋" w:hAnsi="仿宋" w:eastAsia="仿宋" w:cs="仿宋"/>
          <w:b w:val="0"/>
          <w:bCs w:val="0"/>
          <w:sz w:val="28"/>
          <w:szCs w:val="28"/>
          <w:lang w:val="en-US" w:eastAsia="zh-CN"/>
        </w:rPr>
        <w:t>3（项目名称处理结果）</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4.审查扶贫资产项目录入情况，审计思路为：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①</w:t>
      </w:r>
      <w:r>
        <w:rPr>
          <w:rFonts w:hint="eastAsia" w:ascii="仿宋" w:hAnsi="仿宋" w:eastAsia="仿宋" w:cs="仿宋"/>
          <w:b w:val="0"/>
          <w:bCs w:val="0"/>
          <w:sz w:val="28"/>
          <w:szCs w:val="28"/>
          <w:lang w:val="en-US" w:eastAsia="zh-CN"/>
        </w:rPr>
        <w:t>在年度项目信息表里通过筛选功能筛出涉及财政专项扶贫资金的项目。</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②</w:t>
      </w:r>
      <w:r>
        <w:rPr>
          <w:rFonts w:hint="eastAsia" w:ascii="仿宋" w:hAnsi="仿宋" w:eastAsia="仿宋" w:cs="仿宋"/>
          <w:b w:val="0"/>
          <w:bCs w:val="0"/>
          <w:sz w:val="28"/>
          <w:szCs w:val="28"/>
          <w:lang w:val="en-US" w:eastAsia="zh-CN"/>
        </w:rPr>
        <w:t>运用计算机VLOOKUP功能查找对比各项目表的项目名称。</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③</w:t>
      </w:r>
      <w:r>
        <w:rPr>
          <w:rFonts w:hint="eastAsia" w:ascii="仿宋" w:hAnsi="仿宋" w:eastAsia="仿宋" w:cs="仿宋"/>
          <w:b w:val="0"/>
          <w:bCs w:val="0"/>
          <w:sz w:val="28"/>
          <w:szCs w:val="28"/>
          <w:lang w:val="en-US" w:eastAsia="zh-CN"/>
        </w:rPr>
        <w:t>对比筛选出未录入扶贫资产系统的年度实施项目。</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④</w:t>
      </w:r>
      <w:r>
        <w:rPr>
          <w:rFonts w:hint="eastAsia" w:ascii="仿宋" w:hAnsi="仿宋" w:eastAsia="仿宋" w:cs="仿宋"/>
          <w:b w:val="0"/>
          <w:bCs w:val="0"/>
          <w:sz w:val="28"/>
          <w:szCs w:val="28"/>
          <w:lang w:val="en-US" w:eastAsia="zh-CN"/>
        </w:rPr>
        <w:t xml:space="preserve"> 审查扶贫项目录入系统金额与公示金额有无差异情况。 将财政专项扶贫资金投入金额不为0的筛选出来。用VLOOKUP公式对比年度项目信息表里的资产金额与公示表里的金额进行作差，结果为0的项目为金额无差异，结果不为0的为金额有差异。</w:t>
      </w:r>
    </w:p>
    <w:p>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具体步骤：</w:t>
      </w:r>
    </w:p>
    <w:p>
      <w:pPr>
        <w:pStyle w:val="2"/>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anchor distT="0" distB="0" distL="114300" distR="114300" simplePos="0" relativeHeight="251659264" behindDoc="1" locked="0" layoutInCell="1" allowOverlap="1">
            <wp:simplePos x="0" y="0"/>
            <wp:positionH relativeFrom="column">
              <wp:posOffset>954405</wp:posOffset>
            </wp:positionH>
            <wp:positionV relativeFrom="paragraph">
              <wp:posOffset>1026160</wp:posOffset>
            </wp:positionV>
            <wp:extent cx="3381375" cy="3216910"/>
            <wp:effectExtent l="0" t="0" r="1905" b="13970"/>
            <wp:wrapNone/>
            <wp:docPr id="5" name="图片 5" descr="b64127035e88163c764ac765b031f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64127035e88163c764ac765b031ffb"/>
                    <pic:cNvPicPr>
                      <a:picLocks noChangeAspect="1"/>
                    </pic:cNvPicPr>
                  </pic:nvPicPr>
                  <pic:blipFill>
                    <a:blip r:embed="rId8"/>
                    <a:stretch>
                      <a:fillRect/>
                    </a:stretch>
                  </pic:blipFill>
                  <pic:spPr>
                    <a:xfrm>
                      <a:off x="0" y="0"/>
                      <a:ext cx="3381375" cy="3216910"/>
                    </a:xfrm>
                    <a:prstGeom prst="rect">
                      <a:avLst/>
                    </a:prstGeom>
                  </pic:spPr>
                </pic:pic>
              </a:graphicData>
            </a:graphic>
          </wp:anchor>
        </w:drawing>
      </w:r>
      <w:r>
        <w:rPr>
          <w:rFonts w:hint="eastAsia" w:ascii="仿宋" w:hAnsi="仿宋" w:eastAsia="仿宋" w:cs="仿宋"/>
          <w:b w:val="0"/>
          <w:bCs w:val="0"/>
          <w:sz w:val="28"/>
          <w:szCs w:val="28"/>
          <w:lang w:val="en-US" w:eastAsia="zh-CN"/>
        </w:rPr>
        <w:t xml:space="preserve">   步骤一：以农业农村局《2018年度项目信息表》为例，将年度项目表中将财政专项扶贫资金投入金额不为0的筛选出来，2018年实施的63个项目筛选出29个项目。</w:t>
      </w:r>
    </w:p>
    <w:p>
      <w:pPr>
        <w:pStyle w:val="2"/>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w:t>
      </w:r>
    </w:p>
    <w:p>
      <w:pPr>
        <w:pStyle w:val="2"/>
        <w:keepNext w:val="0"/>
        <w:keepLines w:val="0"/>
        <w:pageBreakBefore w:val="0"/>
        <w:widowControl w:val="0"/>
        <w:kinsoku/>
        <w:wordWrap/>
        <w:overflowPunct/>
        <w:topLinePunct w:val="0"/>
        <w:autoSpaceDE/>
        <w:autoSpaceDN/>
        <w:bidi w:val="0"/>
        <w:adjustRightInd/>
        <w:spacing w:line="560" w:lineRule="exact"/>
        <w:ind w:firstLine="3080" w:firstLineChars="1100"/>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图4：筛选结果</w:t>
      </w: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步骤二：执行VLOOKUP(AL9,[资产明细佐证打印.xlsx]资产明细信息查询!$AT$4:$AU$201,2,0)函数。</w:t>
      </w: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用VLOOKUP公式对年度项目里的名称进行查找，查找成功后返回出金额序列的数值</w:t>
      </w:r>
      <w:r>
        <w:rPr>
          <w:rFonts w:hint="eastAsia" w:ascii="仿宋" w:hAnsi="仿宋" w:eastAsia="仿宋" w:cs="仿宋"/>
          <w:b w:val="0"/>
          <w:bCs w:val="0"/>
          <w:color w:val="0000FF"/>
          <w:sz w:val="28"/>
          <w:szCs w:val="28"/>
          <w:lang w:val="en-US" w:eastAsia="zh-CN"/>
        </w:rPr>
        <w:t>（如图5所示）</w:t>
      </w:r>
      <w:r>
        <w:rPr>
          <w:rFonts w:hint="eastAsia" w:ascii="仿宋" w:hAnsi="仿宋" w:eastAsia="仿宋" w:cs="仿宋"/>
          <w:b w:val="0"/>
          <w:bCs w:val="0"/>
          <w:sz w:val="28"/>
          <w:szCs w:val="28"/>
          <w:lang w:val="en-US" w:eastAsia="zh-CN"/>
        </w:rPr>
        <w:t>，若项目存在，则生成投资额，若项目不存在，则显示错误（图6）。</w:t>
      </w: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anchor distT="0" distB="0" distL="114300" distR="114300" simplePos="0" relativeHeight="251660288" behindDoc="1" locked="0" layoutInCell="1" allowOverlap="1">
            <wp:simplePos x="0" y="0"/>
            <wp:positionH relativeFrom="column">
              <wp:posOffset>492760</wp:posOffset>
            </wp:positionH>
            <wp:positionV relativeFrom="paragraph">
              <wp:posOffset>17780</wp:posOffset>
            </wp:positionV>
            <wp:extent cx="5295265" cy="2415540"/>
            <wp:effectExtent l="0" t="0" r="8255" b="7620"/>
            <wp:wrapNone/>
            <wp:docPr id="6" name="图片 6" descr="b205c2baab035ca7475fa127212d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205c2baab035ca7475fa127212db25"/>
                    <pic:cNvPicPr>
                      <a:picLocks noChangeAspect="1"/>
                    </pic:cNvPicPr>
                  </pic:nvPicPr>
                  <pic:blipFill>
                    <a:blip r:embed="rId9"/>
                    <a:stretch>
                      <a:fillRect/>
                    </a:stretch>
                  </pic:blipFill>
                  <pic:spPr>
                    <a:xfrm>
                      <a:off x="0" y="0"/>
                      <a:ext cx="5295265" cy="241554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w:t>
      </w:r>
      <w:r>
        <w:rPr>
          <w:rFonts w:hint="eastAsia" w:ascii="仿宋" w:hAnsi="仿宋" w:eastAsia="仿宋" w:cs="仿宋"/>
          <w:sz w:val="28"/>
          <w:szCs w:val="28"/>
          <w:lang w:val="en-US" w:eastAsia="zh-CN"/>
        </w:rPr>
        <w:t>图5（在资产明细信息表里查询2018年项目）</w:t>
      </w: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anchor distT="0" distB="0" distL="114300" distR="114300" simplePos="0" relativeHeight="251661312" behindDoc="1" locked="0" layoutInCell="1" allowOverlap="1">
            <wp:simplePos x="0" y="0"/>
            <wp:positionH relativeFrom="column">
              <wp:posOffset>472440</wp:posOffset>
            </wp:positionH>
            <wp:positionV relativeFrom="paragraph">
              <wp:posOffset>48260</wp:posOffset>
            </wp:positionV>
            <wp:extent cx="5405120" cy="2867025"/>
            <wp:effectExtent l="0" t="0" r="5080" b="13335"/>
            <wp:wrapNone/>
            <wp:docPr id="7" name="图片 7" descr="dec5d3f80662500b595dd5f8903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ec5d3f80662500b595dd5f89038671"/>
                    <pic:cNvPicPr>
                      <a:picLocks noChangeAspect="1"/>
                    </pic:cNvPicPr>
                  </pic:nvPicPr>
                  <pic:blipFill>
                    <a:blip r:embed="rId10"/>
                    <a:stretch>
                      <a:fillRect/>
                    </a:stretch>
                  </pic:blipFill>
                  <pic:spPr>
                    <a:xfrm>
                      <a:off x="0" y="0"/>
                      <a:ext cx="5405120" cy="2867025"/>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700" w:leftChars="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700" w:leftChars="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700" w:leftChars="0"/>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w:t>
      </w:r>
      <w:r>
        <w:rPr>
          <w:rFonts w:hint="eastAsia" w:ascii="仿宋" w:hAnsi="仿宋" w:eastAsia="仿宋" w:cs="仿宋"/>
          <w:sz w:val="28"/>
          <w:szCs w:val="28"/>
          <w:lang w:val="en-US" w:eastAsia="zh-CN"/>
        </w:rPr>
        <w:t>图6（查询结果）</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700" w:left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5.审查扶贫资产台账项目录入系统金额与公示金额有无差异</w:t>
      </w: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审计思路：用VLOOKUP公式对比年度项目信息表里的资产金额与公示表里的金额进行作差，结果为0的项目为金额无差异，结果不为0的为金额有差异。</w:t>
      </w: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审计方法和步骤：</w:t>
      </w: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步骤一：继续以农业农村局《2018年度项目信息表》为例，将年度项目表中财政专项扶贫资金投入金额不为0的筛选出来，2018年实施的63个项目筛选出29个项目（图7）。</w:t>
      </w: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anchor distT="0" distB="0" distL="114300" distR="114300" simplePos="0" relativeHeight="251662336" behindDoc="1" locked="0" layoutInCell="1" allowOverlap="1">
            <wp:simplePos x="0" y="0"/>
            <wp:positionH relativeFrom="column">
              <wp:posOffset>1307465</wp:posOffset>
            </wp:positionH>
            <wp:positionV relativeFrom="paragraph">
              <wp:posOffset>79375</wp:posOffset>
            </wp:positionV>
            <wp:extent cx="3567430" cy="3545840"/>
            <wp:effectExtent l="0" t="0" r="13970" b="16510"/>
            <wp:wrapNone/>
            <wp:docPr id="8" name="图片 8" descr="1ed060f2250f1a1e7fe7ce4d0bf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ed060f2250f1a1e7fe7ce4d0bf7873"/>
                    <pic:cNvPicPr>
                      <a:picLocks noChangeAspect="1"/>
                    </pic:cNvPicPr>
                  </pic:nvPicPr>
                  <pic:blipFill>
                    <a:blip r:embed="rId11"/>
                    <a:stretch>
                      <a:fillRect/>
                    </a:stretch>
                  </pic:blipFill>
                  <pic:spPr>
                    <a:xfrm>
                      <a:off x="0" y="0"/>
                      <a:ext cx="3567430" cy="354584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bookmarkStart w:id="31" w:name="_GoBack"/>
      <w:bookmarkEnd w:id="31"/>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图7：筛选金额不为0的项目结果</w:t>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步骤二：用VLOOKUP功能查找扶贫资产公示表里的项目，在扶贫资产信息明细表中查询，返回显示的序列表示为资产原值（图8）。</w:t>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步骤三：将此数值与公示表中的决算金额作差，数值为0的为没有差异，数值非0的为金额登记有差异的项目。VLOOKUP(B21,资产明细信息查询!$H$4:$I$195,2,0)-K21（图9）。</w:t>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anchor distT="0" distB="0" distL="114300" distR="114300" simplePos="0" relativeHeight="251663360" behindDoc="1" locked="0" layoutInCell="1" allowOverlap="1">
            <wp:simplePos x="0" y="0"/>
            <wp:positionH relativeFrom="column">
              <wp:posOffset>-15240</wp:posOffset>
            </wp:positionH>
            <wp:positionV relativeFrom="paragraph">
              <wp:posOffset>177800</wp:posOffset>
            </wp:positionV>
            <wp:extent cx="6022340" cy="1889125"/>
            <wp:effectExtent l="0" t="0" r="12700" b="635"/>
            <wp:wrapNone/>
            <wp:docPr id="9" name="图片 9" descr="28f1adb4693a674d70fa0a9654fd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8f1adb4693a674d70fa0a9654fd542"/>
                    <pic:cNvPicPr>
                      <a:picLocks noChangeAspect="1"/>
                    </pic:cNvPicPr>
                  </pic:nvPicPr>
                  <pic:blipFill>
                    <a:blip r:embed="rId12"/>
                    <a:stretch>
                      <a:fillRect/>
                    </a:stretch>
                  </pic:blipFill>
                  <pic:spPr>
                    <a:xfrm>
                      <a:off x="0" y="0"/>
                      <a:ext cx="6022340" cy="1889125"/>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图8</w:t>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anchor distT="0" distB="0" distL="114300" distR="114300" simplePos="0" relativeHeight="251664384" behindDoc="1" locked="0" layoutInCell="1" allowOverlap="1">
            <wp:simplePos x="0" y="0"/>
            <wp:positionH relativeFrom="column">
              <wp:posOffset>-45720</wp:posOffset>
            </wp:positionH>
            <wp:positionV relativeFrom="paragraph">
              <wp:posOffset>68580</wp:posOffset>
            </wp:positionV>
            <wp:extent cx="5606415" cy="2366010"/>
            <wp:effectExtent l="0" t="0" r="1905" b="11430"/>
            <wp:wrapNone/>
            <wp:docPr id="11" name="图片 11" descr="6d159299d8d2ab7670004c128b83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d159299d8d2ab7670004c128b83dea"/>
                    <pic:cNvPicPr>
                      <a:picLocks noChangeAspect="1"/>
                    </pic:cNvPicPr>
                  </pic:nvPicPr>
                  <pic:blipFill>
                    <a:blip r:embed="rId13"/>
                    <a:stretch>
                      <a:fillRect/>
                    </a:stretch>
                  </pic:blipFill>
                  <pic:spPr>
                    <a:xfrm>
                      <a:off x="0" y="0"/>
                      <a:ext cx="5606415" cy="236601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 w:hAnsi="仿宋" w:eastAsia="仿宋" w:cs="仿宋"/>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图9</w:t>
      </w:r>
    </w:p>
    <w:p>
      <w:pPr>
        <w:keepNext w:val="0"/>
        <w:keepLines w:val="0"/>
        <w:pageBreakBefore w:val="0"/>
        <w:widowControl w:val="0"/>
        <w:numPr>
          <w:ilvl w:val="0"/>
          <w:numId w:val="0"/>
        </w:numPr>
        <w:kinsoku/>
        <w:wordWrap/>
        <w:overflowPunct/>
        <w:topLinePunct w:val="0"/>
        <w:autoSpaceDE/>
        <w:autoSpaceDN/>
        <w:bidi w:val="0"/>
        <w:adjustRightInd/>
        <w:spacing w:line="560" w:lineRule="exact"/>
        <w:ind w:leftChars="200"/>
        <w:textAlignment w:val="auto"/>
        <w:rPr>
          <w:rFonts w:hint="eastAsia"/>
          <w:lang w:val="en-US" w:eastAsia="zh-CN"/>
        </w:rPr>
      </w:pPr>
      <w:r>
        <w:rPr>
          <w:rFonts w:hint="eastAsia" w:ascii="楷体" w:hAnsi="楷体" w:eastAsia="楷体" w:cs="楷体"/>
          <w:b w:val="0"/>
          <w:bCs w:val="0"/>
          <w:sz w:val="28"/>
          <w:szCs w:val="28"/>
          <w:lang w:val="en-US" w:eastAsia="zh-CN"/>
        </w:rPr>
        <w:t>（五）采用计算机技术进行辅助审计取得的实效</w:t>
      </w:r>
    </w:p>
    <w:p>
      <w:pPr>
        <w:pStyle w:val="2"/>
        <w:keepNext w:val="0"/>
        <w:keepLines w:val="0"/>
        <w:pageBreakBefore w:val="0"/>
        <w:widowControl w:val="0"/>
        <w:kinsoku/>
        <w:wordWrap/>
        <w:overflowPunct/>
        <w:topLinePunct w:val="0"/>
        <w:autoSpaceDE/>
        <w:autoSpaceDN/>
        <w:bidi w:val="0"/>
        <w:adjustRightInd/>
        <w:spacing w:line="560" w:lineRule="exact"/>
        <w:ind w:firstLine="524"/>
        <w:textAlignment w:val="auto"/>
        <w:rPr>
          <w:rFonts w:hint="eastAsia"/>
          <w:lang w:val="en-US" w:eastAsia="zh-CN"/>
        </w:rPr>
      </w:pPr>
      <w:r>
        <w:rPr>
          <w:rFonts w:hint="eastAsia" w:ascii="仿宋" w:hAnsi="仿宋" w:eastAsia="仿宋" w:cs="仿宋"/>
          <w:b w:val="0"/>
          <w:bCs w:val="0"/>
          <w:sz w:val="28"/>
          <w:szCs w:val="28"/>
          <w:lang w:val="en-US" w:eastAsia="zh-CN"/>
        </w:rPr>
        <w:t>1.准确识别存在的问题。本次检查出3项应录未录的扶贫资产项目；检查出资产公示金额及系统录入金额的差异,金额差异项目共8个，共计82.37万元。</w:t>
      </w:r>
    </w:p>
    <w:p>
      <w:pPr>
        <w:pStyle w:val="2"/>
        <w:keepNext w:val="0"/>
        <w:keepLines w:val="0"/>
        <w:pageBreakBefore w:val="0"/>
        <w:widowControl w:val="0"/>
        <w:kinsoku/>
        <w:wordWrap/>
        <w:overflowPunct/>
        <w:topLinePunct w:val="0"/>
        <w:autoSpaceDE/>
        <w:autoSpaceDN/>
        <w:bidi w:val="0"/>
        <w:adjustRightInd/>
        <w:spacing w:line="560" w:lineRule="exact"/>
        <w:ind w:firstLine="524"/>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切实提高了审计效率。本次审计通过利用计算机技术进行数据收集、数据分析和数据筛查，让审计人员在短时间内就能够快速处理大量数据，自动筛选出异常信息，提高了审计工作的效率，缩短审计周期，降低审计成本。</w:t>
      </w:r>
    </w:p>
    <w:p>
      <w:pPr>
        <w:pStyle w:val="2"/>
        <w:keepNext w:val="0"/>
        <w:keepLines w:val="0"/>
        <w:pageBreakBefore w:val="0"/>
        <w:widowControl w:val="0"/>
        <w:kinsoku/>
        <w:wordWrap/>
        <w:overflowPunct/>
        <w:topLinePunct w:val="0"/>
        <w:autoSpaceDE/>
        <w:autoSpaceDN/>
        <w:bidi w:val="0"/>
        <w:adjustRightInd/>
        <w:spacing w:line="560" w:lineRule="exact"/>
        <w:ind w:firstLine="524"/>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3.确保审计结果的准确性。本次审计利用计算机技术具有较高精确性的特点，帮助审计人员精确计算项目资金使用情况，减少了人为计算误报的风险，确保了审计结果的准确性和可靠性。</w:t>
      </w:r>
    </w:p>
    <w:p>
      <w:pPr>
        <w:pStyle w:val="2"/>
        <w:keepNext w:val="0"/>
        <w:keepLines w:val="0"/>
        <w:pageBreakBefore w:val="0"/>
        <w:widowControl w:val="0"/>
        <w:kinsoku/>
        <w:wordWrap/>
        <w:overflowPunct/>
        <w:topLinePunct w:val="0"/>
        <w:autoSpaceDE/>
        <w:autoSpaceDN/>
        <w:bidi w:val="0"/>
        <w:adjustRightInd/>
        <w:spacing w:line="560" w:lineRule="exact"/>
        <w:ind w:firstLine="524"/>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降低了审计风险。本次扶贫资产分布在4个脱贫村，涉及资产数量111项，分布较散，如采用人工梳理和统计容易有遗漏，信息统计不全，使得审计具有一定的风险。而采用了计算机技术则有助于实现审计过程的透明化和规范化，减少人为干预，降低了审计风险。</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（六）本次审计发现的主要问题</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扶贫项目资产未及时登记入账</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2018年至2020年</w:t>
      </w:r>
      <w:r>
        <w:rPr>
          <w:rFonts w:hint="eastAsia" w:ascii="仿宋" w:hAnsi="仿宋" w:eastAsia="仿宋" w:cs="仿宋"/>
          <w:color w:val="000000" w:themeColor="text1"/>
          <w:sz w:val="28"/>
          <w:szCs w:val="28"/>
          <w:lang w:val="en-US" w:eastAsia="zh-CN"/>
          <w14:textFill>
            <w14:solidFill>
              <w14:schemeClr w14:val="tx1"/>
            </w14:solidFill>
          </w14:textFill>
        </w:rPr>
        <w:t>Y</w:t>
      </w:r>
      <w:r>
        <w:rPr>
          <w:rFonts w:hint="eastAsia" w:ascii="仿宋" w:hAnsi="仿宋" w:eastAsia="仿宋" w:cs="仿宋"/>
          <w:color w:val="000000" w:themeColor="text1"/>
          <w:sz w:val="28"/>
          <w:szCs w:val="28"/>
          <w14:textFill>
            <w14:solidFill>
              <w14:schemeClr w14:val="tx1"/>
            </w14:solidFill>
          </w14:textFill>
        </w:rPr>
        <w:t>区使用财政扶贫专项资金合计120.70万元实施的3个危房改造项目未纳入国家防返贫监测信息系统管理，其中</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Y区</w:t>
      </w:r>
      <w:r>
        <w:rPr>
          <w:rFonts w:hint="eastAsia" w:ascii="仿宋" w:hAnsi="仿宋" w:eastAsia="仿宋" w:cs="仿宋"/>
          <w:color w:val="000000" w:themeColor="text1"/>
          <w:sz w:val="28"/>
          <w:szCs w:val="28"/>
          <w:lang w:eastAsia="zh-CN"/>
          <w14:textFill>
            <w14:solidFill>
              <w14:schemeClr w14:val="tx1"/>
            </w14:solidFill>
          </w14:textFill>
        </w:rPr>
        <w:t>2018年农村危房改造项目”涉及财政专项扶贫资金34.2万元、“</w:t>
      </w:r>
      <w:r>
        <w:rPr>
          <w:rFonts w:hint="eastAsia" w:ascii="仿宋" w:hAnsi="仿宋" w:eastAsia="仿宋" w:cs="仿宋"/>
          <w:color w:val="000000" w:themeColor="text1"/>
          <w:sz w:val="28"/>
          <w:szCs w:val="28"/>
          <w:lang w:val="en-US" w:eastAsia="zh-CN"/>
          <w14:textFill>
            <w14:solidFill>
              <w14:schemeClr w14:val="tx1"/>
            </w14:solidFill>
          </w14:textFill>
        </w:rPr>
        <w:t>Z</w:t>
      </w:r>
      <w:r>
        <w:rPr>
          <w:rFonts w:hint="eastAsia" w:ascii="仿宋" w:hAnsi="仿宋" w:eastAsia="仿宋" w:cs="仿宋"/>
          <w:color w:val="000000" w:themeColor="text1"/>
          <w:sz w:val="28"/>
          <w:szCs w:val="28"/>
          <w:lang w:eastAsia="zh-CN"/>
          <w14:textFill>
            <w14:solidFill>
              <w14:schemeClr w14:val="tx1"/>
            </w14:solidFill>
          </w14:textFill>
        </w:rPr>
        <w:t>镇2019年危房改造”总金额66.2万元，涉及财政专项扶贫资金50万元、2020年“</w:t>
      </w:r>
      <w:r>
        <w:rPr>
          <w:rFonts w:hint="eastAsia" w:ascii="仿宋" w:hAnsi="仿宋" w:eastAsia="仿宋" w:cs="仿宋"/>
          <w:color w:val="000000" w:themeColor="text1"/>
          <w:sz w:val="28"/>
          <w:szCs w:val="28"/>
          <w:lang w:val="en-US" w:eastAsia="zh-CN"/>
          <w14:textFill>
            <w14:solidFill>
              <w14:schemeClr w14:val="tx1"/>
            </w14:solidFill>
          </w14:textFill>
        </w:rPr>
        <w:t>L</w:t>
      </w:r>
      <w:r>
        <w:rPr>
          <w:rFonts w:hint="eastAsia" w:ascii="仿宋" w:hAnsi="仿宋" w:eastAsia="仿宋" w:cs="仿宋"/>
          <w:color w:val="000000" w:themeColor="text1"/>
          <w:sz w:val="28"/>
          <w:szCs w:val="28"/>
          <w:lang w:eastAsia="zh-CN"/>
          <w14:textFill>
            <w14:solidFill>
              <w14:schemeClr w14:val="tx1"/>
            </w14:solidFill>
          </w14:textFill>
        </w:rPr>
        <w:t>区本级危旧房改造工程项目”涉及财政专项扶贫资金36.5万元。</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2.超范围登记扶贫项目资产</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Z镇6个非贫困村集体经济项目“L市Y区2018年非贫困村集体经济”项目由Z镇人民政府进行登记，该项目未使用扶贫资金，存在超范围登记扶贫资产的情况，涉及金额120万元。</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3.</w:t>
      </w:r>
      <w:r>
        <w:rPr>
          <w:rFonts w:hint="default" w:ascii="仿宋" w:hAnsi="仿宋" w:eastAsia="仿宋" w:cs="仿宋"/>
          <w:color w:val="000000" w:themeColor="text1"/>
          <w:sz w:val="28"/>
          <w:szCs w:val="28"/>
          <w:lang w:val="en-US" w:eastAsia="zh-CN"/>
          <w14:textFill>
            <w14:solidFill>
              <w14:schemeClr w14:val="tx1"/>
            </w14:solidFill>
          </w14:textFill>
        </w:rPr>
        <w:t>部分资产未办理确权登记移交手续或移交资料信息不完善</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default" w:ascii="仿宋" w:hAnsi="仿宋" w:eastAsia="仿宋" w:cs="仿宋"/>
          <w:color w:val="000000" w:themeColor="text1"/>
          <w:sz w:val="28"/>
          <w:szCs w:val="28"/>
          <w:lang w:val="en-US" w:eastAsia="zh-CN"/>
          <w14:textFill>
            <w14:solidFill>
              <w14:schemeClr w14:val="tx1"/>
            </w14:solidFill>
          </w14:textFill>
        </w:rPr>
        <w:t>（1）抽查项目中</w:t>
      </w:r>
      <w:bookmarkStart w:id="24" w:name="OLE_LINK6"/>
      <w:r>
        <w:rPr>
          <w:rFonts w:hint="eastAsia" w:ascii="仿宋" w:hAnsi="仿宋" w:eastAsia="仿宋" w:cs="仿宋"/>
          <w:color w:val="000000" w:themeColor="text1"/>
          <w:sz w:val="28"/>
          <w:szCs w:val="28"/>
          <w:lang w:val="en-US" w:eastAsia="zh-CN"/>
          <w14:textFill>
            <w14:solidFill>
              <w14:schemeClr w14:val="tx1"/>
            </w14:solidFill>
          </w14:textFill>
        </w:rPr>
        <w:t>B</w:t>
      </w:r>
      <w:bookmarkEnd w:id="24"/>
      <w:r>
        <w:rPr>
          <w:rFonts w:hint="eastAsia" w:ascii="仿宋" w:hAnsi="仿宋" w:eastAsia="仿宋" w:cs="仿宋"/>
          <w:color w:val="000000" w:themeColor="text1"/>
          <w:sz w:val="28"/>
          <w:szCs w:val="28"/>
          <w:lang w:val="en-US" w:eastAsia="zh-CN"/>
          <w14:textFill>
            <w14:solidFill>
              <w14:schemeClr w14:val="tx1"/>
            </w14:solidFill>
          </w14:textFill>
        </w:rPr>
        <w:t>镇</w:t>
      </w:r>
      <w:r>
        <w:rPr>
          <w:rFonts w:hint="default" w:ascii="仿宋" w:hAnsi="仿宋" w:eastAsia="仿宋" w:cs="仿宋"/>
          <w:color w:val="000000" w:themeColor="text1"/>
          <w:sz w:val="28"/>
          <w:szCs w:val="28"/>
          <w:lang w:val="en-US" w:eastAsia="zh-CN"/>
          <w14:textFill>
            <w14:solidFill>
              <w14:schemeClr w14:val="tx1"/>
            </w14:solidFill>
          </w14:textFill>
        </w:rPr>
        <w:t>水山村“</w:t>
      </w:r>
      <w:r>
        <w:rPr>
          <w:rFonts w:hint="eastAsia" w:ascii="仿宋" w:hAnsi="仿宋" w:eastAsia="仿宋" w:cs="仿宋"/>
          <w:color w:val="000000" w:themeColor="text1"/>
          <w:sz w:val="28"/>
          <w:szCs w:val="28"/>
          <w:lang w:val="en-US" w:eastAsia="zh-CN"/>
          <w14:textFill>
            <w14:solidFill>
              <w14:schemeClr w14:val="tx1"/>
            </w14:solidFill>
          </w14:textFill>
        </w:rPr>
        <w:t>B</w:t>
      </w:r>
      <w:r>
        <w:rPr>
          <w:rFonts w:hint="default" w:ascii="仿宋" w:hAnsi="仿宋" w:eastAsia="仿宋" w:cs="仿宋"/>
          <w:color w:val="000000" w:themeColor="text1"/>
          <w:sz w:val="28"/>
          <w:szCs w:val="28"/>
          <w:lang w:val="en-US" w:eastAsia="zh-CN"/>
          <w14:textFill>
            <w14:solidFill>
              <w14:schemeClr w14:val="tx1"/>
            </w14:solidFill>
          </w14:textFill>
        </w:rPr>
        <w:t>镇水山村铁四屯入户路改造建设”“</w:t>
      </w:r>
      <w:r>
        <w:rPr>
          <w:rFonts w:hint="eastAsia" w:ascii="仿宋" w:hAnsi="仿宋" w:eastAsia="仿宋" w:cs="仿宋"/>
          <w:color w:val="000000" w:themeColor="text1"/>
          <w:sz w:val="28"/>
          <w:szCs w:val="28"/>
          <w:lang w:val="en-US" w:eastAsia="zh-CN"/>
          <w14:textFill>
            <w14:solidFill>
              <w14:schemeClr w14:val="tx1"/>
            </w14:solidFill>
          </w14:textFill>
        </w:rPr>
        <w:t>B</w:t>
      </w:r>
      <w:r>
        <w:rPr>
          <w:rFonts w:hint="default" w:ascii="仿宋" w:hAnsi="仿宋" w:eastAsia="仿宋" w:cs="仿宋"/>
          <w:color w:val="000000" w:themeColor="text1"/>
          <w:sz w:val="28"/>
          <w:szCs w:val="28"/>
          <w:lang w:val="en-US" w:eastAsia="zh-CN"/>
          <w14:textFill>
            <w14:solidFill>
              <w14:schemeClr w14:val="tx1"/>
            </w14:solidFill>
          </w14:textFill>
        </w:rPr>
        <w:t>镇水山村新建屯农村饮水工程”“</w:t>
      </w:r>
      <w:r>
        <w:rPr>
          <w:rFonts w:hint="eastAsia" w:ascii="仿宋" w:hAnsi="仿宋" w:eastAsia="仿宋" w:cs="仿宋"/>
          <w:color w:val="000000" w:themeColor="text1"/>
          <w:sz w:val="28"/>
          <w:szCs w:val="28"/>
          <w:lang w:val="en-US" w:eastAsia="zh-CN"/>
          <w14:textFill>
            <w14:solidFill>
              <w14:schemeClr w14:val="tx1"/>
            </w14:solidFill>
          </w14:textFill>
        </w:rPr>
        <w:t>L</w:t>
      </w:r>
      <w:r>
        <w:rPr>
          <w:rFonts w:hint="default" w:ascii="仿宋" w:hAnsi="仿宋" w:eastAsia="仿宋" w:cs="仿宋"/>
          <w:color w:val="000000" w:themeColor="text1"/>
          <w:sz w:val="28"/>
          <w:szCs w:val="28"/>
          <w:lang w:val="en-US" w:eastAsia="zh-CN"/>
          <w14:textFill>
            <w14:solidFill>
              <w14:schemeClr w14:val="tx1"/>
            </w14:solidFill>
          </w14:textFill>
        </w:rPr>
        <w:t>市</w:t>
      </w:r>
      <w:r>
        <w:rPr>
          <w:rFonts w:hint="eastAsia" w:ascii="仿宋" w:hAnsi="仿宋" w:eastAsia="仿宋" w:cs="仿宋"/>
          <w:color w:val="000000" w:themeColor="text1"/>
          <w:sz w:val="28"/>
          <w:szCs w:val="28"/>
          <w:lang w:val="en-US" w:eastAsia="zh-CN"/>
          <w14:textFill>
            <w14:solidFill>
              <w14:schemeClr w14:val="tx1"/>
            </w14:solidFill>
          </w14:textFill>
        </w:rPr>
        <w:t>Y</w:t>
      </w:r>
      <w:r>
        <w:rPr>
          <w:rFonts w:hint="default" w:ascii="仿宋" w:hAnsi="仿宋" w:eastAsia="仿宋" w:cs="仿宋"/>
          <w:color w:val="000000" w:themeColor="text1"/>
          <w:sz w:val="28"/>
          <w:szCs w:val="28"/>
          <w:lang w:val="en-US" w:eastAsia="zh-CN"/>
          <w14:textFill>
            <w14:solidFill>
              <w14:schemeClr w14:val="tx1"/>
            </w14:solidFill>
          </w14:textFill>
        </w:rPr>
        <w:t>区</w:t>
      </w:r>
      <w:r>
        <w:rPr>
          <w:rFonts w:hint="eastAsia" w:ascii="仿宋" w:hAnsi="仿宋" w:eastAsia="仿宋" w:cs="仿宋"/>
          <w:color w:val="000000" w:themeColor="text1"/>
          <w:sz w:val="28"/>
          <w:szCs w:val="28"/>
          <w:lang w:val="en-US" w:eastAsia="zh-CN"/>
          <w14:textFill>
            <w14:solidFill>
              <w14:schemeClr w14:val="tx1"/>
            </w14:solidFill>
          </w14:textFill>
        </w:rPr>
        <w:t>B</w:t>
      </w:r>
      <w:r>
        <w:rPr>
          <w:rFonts w:hint="default" w:ascii="仿宋" w:hAnsi="仿宋" w:eastAsia="仿宋" w:cs="仿宋"/>
          <w:color w:val="000000" w:themeColor="text1"/>
          <w:sz w:val="28"/>
          <w:szCs w:val="28"/>
          <w:lang w:val="en-US" w:eastAsia="zh-CN"/>
          <w14:textFill>
            <w14:solidFill>
              <w14:schemeClr w14:val="tx1"/>
            </w14:solidFill>
          </w14:textFill>
        </w:rPr>
        <w:t xml:space="preserve">镇水山村灌溉渠道工程”等5项扶贫项目无扶贫资产移交协议书或扶贫资产管理移交清单，涉及金额125.69万元。 </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default" w:ascii="仿宋" w:hAnsi="仿宋" w:eastAsia="仿宋" w:cs="仿宋"/>
          <w:color w:val="000000" w:themeColor="text1"/>
          <w:sz w:val="28"/>
          <w:szCs w:val="28"/>
          <w:lang w:val="en-US" w:eastAsia="zh-CN"/>
          <w14:textFill>
            <w14:solidFill>
              <w14:schemeClr w14:val="tx1"/>
            </w14:solidFill>
          </w14:textFill>
        </w:rPr>
        <w:t>（2）</w:t>
      </w:r>
      <w:r>
        <w:rPr>
          <w:rFonts w:hint="eastAsia" w:ascii="仿宋" w:hAnsi="仿宋" w:eastAsia="仿宋" w:cs="仿宋"/>
          <w:color w:val="000000" w:themeColor="text1"/>
          <w:sz w:val="28"/>
          <w:szCs w:val="28"/>
          <w:lang w:val="en-US" w:eastAsia="zh-CN"/>
          <w14:textFill>
            <w14:solidFill>
              <w14:schemeClr w14:val="tx1"/>
            </w14:solidFill>
          </w14:textFill>
        </w:rPr>
        <w:t>Z</w:t>
      </w:r>
      <w:r>
        <w:rPr>
          <w:rFonts w:hint="default" w:ascii="仿宋" w:hAnsi="仿宋" w:eastAsia="仿宋" w:cs="仿宋"/>
          <w:color w:val="000000" w:themeColor="text1"/>
          <w:sz w:val="28"/>
          <w:szCs w:val="28"/>
          <w:lang w:val="en-US" w:eastAsia="zh-CN"/>
          <w14:textFill>
            <w14:solidFill>
              <w14:schemeClr w14:val="tx1"/>
            </w14:solidFill>
          </w14:textFill>
        </w:rPr>
        <w:t>镇富龙村富龙屯产业基地道路工程的项目移交接管协议书未填写具体日期，项目建设单位为</w:t>
      </w:r>
      <w:r>
        <w:rPr>
          <w:rFonts w:hint="eastAsia" w:ascii="仿宋" w:hAnsi="仿宋" w:eastAsia="仿宋" w:cs="仿宋"/>
          <w:color w:val="000000" w:themeColor="text1"/>
          <w:sz w:val="28"/>
          <w:szCs w:val="28"/>
          <w:lang w:val="en-US" w:eastAsia="zh-CN"/>
          <w14:textFill>
            <w14:solidFill>
              <w14:schemeClr w14:val="tx1"/>
            </w14:solidFill>
          </w14:textFill>
        </w:rPr>
        <w:t>Y</w:t>
      </w:r>
      <w:r>
        <w:rPr>
          <w:rFonts w:hint="default" w:ascii="仿宋" w:hAnsi="仿宋" w:eastAsia="仿宋" w:cs="仿宋"/>
          <w:color w:val="000000" w:themeColor="text1"/>
          <w:sz w:val="28"/>
          <w:szCs w:val="28"/>
          <w:lang w:val="en-US" w:eastAsia="zh-CN"/>
          <w14:textFill>
            <w14:solidFill>
              <w14:schemeClr w14:val="tx1"/>
            </w14:solidFill>
          </w14:textFill>
        </w:rPr>
        <w:t>区乡村振兴局（原扶贫开发办公室），涉及资产金额232.6万元。</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default" w:ascii="仿宋" w:hAnsi="仿宋" w:eastAsia="仿宋" w:cs="仿宋"/>
          <w:color w:val="000000" w:themeColor="text1"/>
          <w:sz w:val="28"/>
          <w:szCs w:val="28"/>
          <w:lang w:val="en-US" w:eastAsia="zh-CN"/>
          <w14:textFill>
            <w14:solidFill>
              <w14:schemeClr w14:val="tx1"/>
            </w14:solidFill>
          </w14:textFill>
        </w:rPr>
        <w:t>（3）部分项目存在移交接管协议书记载资产内容与项目公示牌、竣工图纸不一致的情况。如：</w:t>
      </w:r>
      <w:r>
        <w:rPr>
          <w:rFonts w:hint="eastAsia" w:ascii="仿宋" w:hAnsi="仿宋" w:eastAsia="仿宋" w:cs="仿宋"/>
          <w:color w:val="000000" w:themeColor="text1"/>
          <w:sz w:val="28"/>
          <w:szCs w:val="28"/>
          <w:lang w:val="en-US" w:eastAsia="zh-CN"/>
          <w14:textFill>
            <w14:solidFill>
              <w14:schemeClr w14:val="tx1"/>
            </w14:solidFill>
          </w14:textFill>
        </w:rPr>
        <w:t>W</w:t>
      </w:r>
      <w:r>
        <w:rPr>
          <w:rFonts w:hint="default" w:ascii="仿宋" w:hAnsi="仿宋" w:eastAsia="仿宋" w:cs="仿宋"/>
          <w:color w:val="000000" w:themeColor="text1"/>
          <w:sz w:val="28"/>
          <w:szCs w:val="28"/>
          <w:lang w:val="en-US" w:eastAsia="zh-CN"/>
          <w14:textFill>
            <w14:solidFill>
              <w14:schemeClr w14:val="tx1"/>
            </w14:solidFill>
          </w14:textFill>
        </w:rPr>
        <w:t>村螺蛳粉产业园产业道路硬化工程项目公示牌、竣工图纸记载建设内容</w:t>
      </w:r>
      <w:r>
        <w:rPr>
          <w:rFonts w:hint="eastAsia" w:ascii="仿宋" w:hAnsi="仿宋" w:eastAsia="仿宋" w:cs="仿宋"/>
          <w:color w:val="000000" w:themeColor="text1"/>
          <w:sz w:val="28"/>
          <w:szCs w:val="28"/>
          <w:lang w:val="en-US" w:eastAsia="zh-CN"/>
          <w14:textFill>
            <w14:solidFill>
              <w14:schemeClr w14:val="tx1"/>
            </w14:solidFill>
          </w14:textFill>
        </w:rPr>
        <w:t>为</w:t>
      </w:r>
      <w:r>
        <w:rPr>
          <w:rFonts w:hint="default" w:ascii="仿宋" w:hAnsi="仿宋" w:eastAsia="仿宋" w:cs="仿宋"/>
          <w:color w:val="000000" w:themeColor="text1"/>
          <w:sz w:val="28"/>
          <w:szCs w:val="28"/>
          <w:lang w:val="en-US" w:eastAsia="zh-CN"/>
          <w14:textFill>
            <w14:solidFill>
              <w14:schemeClr w14:val="tx1"/>
            </w14:solidFill>
          </w14:textFill>
        </w:rPr>
        <w:t>“新硬化道路全长955.5米，新建会车平台2处，下田道口4处，过渠涵洞8处”，</w:t>
      </w:r>
      <w:r>
        <w:rPr>
          <w:rFonts w:hint="eastAsia" w:ascii="仿宋" w:hAnsi="仿宋" w:eastAsia="仿宋" w:cs="仿宋"/>
          <w:color w:val="000000" w:themeColor="text1"/>
          <w:sz w:val="28"/>
          <w:szCs w:val="28"/>
          <w:lang w:val="en-US" w:eastAsia="zh-CN"/>
          <w14:textFill>
            <w14:solidFill>
              <w14:schemeClr w14:val="tx1"/>
            </w14:solidFill>
          </w14:textFill>
        </w:rPr>
        <w:t>而</w:t>
      </w:r>
      <w:r>
        <w:rPr>
          <w:rFonts w:hint="default" w:ascii="仿宋" w:hAnsi="仿宋" w:eastAsia="仿宋" w:cs="仿宋"/>
          <w:color w:val="000000" w:themeColor="text1"/>
          <w:sz w:val="28"/>
          <w:szCs w:val="28"/>
          <w:lang w:val="en-US" w:eastAsia="zh-CN"/>
          <w14:textFill>
            <w14:solidFill>
              <w14:schemeClr w14:val="tx1"/>
            </w14:solidFill>
          </w14:textFill>
        </w:rPr>
        <w:t>移交接管协议书资产内容则为“新硬化道路全长914米，设会车平台2处，下田道口7处，过渠涵洞8处”，两者不一致。</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4.</w:t>
      </w:r>
      <w:r>
        <w:rPr>
          <w:rFonts w:hint="default" w:ascii="仿宋" w:hAnsi="仿宋" w:eastAsia="仿宋" w:cs="仿宋"/>
          <w:color w:val="000000" w:themeColor="text1"/>
          <w:sz w:val="28"/>
          <w:szCs w:val="28"/>
          <w:lang w:val="en-US" w:eastAsia="zh-CN"/>
          <w14:textFill>
            <w14:solidFill>
              <w14:schemeClr w14:val="tx1"/>
            </w14:solidFill>
          </w14:textFill>
        </w:rPr>
        <w:t>部分资产确权登记金额与审定价或项目结算价存在差异</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default" w:ascii="仿宋" w:hAnsi="仿宋" w:eastAsia="仿宋" w:cs="仿宋"/>
          <w:color w:val="000000" w:themeColor="text1"/>
          <w:sz w:val="28"/>
          <w:szCs w:val="28"/>
          <w:lang w:val="en-US" w:eastAsia="zh-CN"/>
          <w14:textFill>
            <w14:solidFill>
              <w14:schemeClr w14:val="tx1"/>
            </w14:solidFill>
          </w14:textFill>
        </w:rPr>
        <w:t>（1）</w:t>
      </w:r>
      <w:r>
        <w:rPr>
          <w:rFonts w:hint="eastAsia" w:ascii="仿宋" w:hAnsi="仿宋" w:eastAsia="仿宋" w:cs="仿宋"/>
          <w:color w:val="000000" w:themeColor="text1"/>
          <w:sz w:val="28"/>
          <w:szCs w:val="28"/>
          <w:lang w:val="en-US" w:eastAsia="zh-CN"/>
          <w14:textFill>
            <w14:solidFill>
              <w14:schemeClr w14:val="tx1"/>
            </w14:solidFill>
          </w14:textFill>
        </w:rPr>
        <w:t>Z</w:t>
      </w:r>
      <w:r>
        <w:rPr>
          <w:rFonts w:hint="default" w:ascii="仿宋" w:hAnsi="仿宋" w:eastAsia="仿宋" w:cs="仿宋"/>
          <w:color w:val="000000" w:themeColor="text1"/>
          <w:sz w:val="28"/>
          <w:szCs w:val="28"/>
          <w:lang w:val="en-US" w:eastAsia="zh-CN"/>
          <w14:textFill>
            <w14:solidFill>
              <w14:schemeClr w14:val="tx1"/>
            </w14:solidFill>
          </w14:textFill>
        </w:rPr>
        <w:t>镇扶贫资产项目在移交过程中，因移交协议审定价的资产核算标准和扶贫资产登记标准不一致，导致9个项目资产存在移交协议显示的资产审定价与全国防返贫监测系统中登记的资产原值、现值不符的情况，其中，8个项目移交协议书审定价低于登记资产现值，差异金额47.24万元；1个项目移交协议书审定价高于登记资产现值，差异金额14.85万元。</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5.</w:t>
      </w:r>
      <w:r>
        <w:rPr>
          <w:rFonts w:hint="default" w:ascii="仿宋" w:hAnsi="仿宋" w:eastAsia="仿宋" w:cs="仿宋"/>
          <w:color w:val="000000" w:themeColor="text1"/>
          <w:sz w:val="28"/>
          <w:szCs w:val="28"/>
          <w:lang w:val="en-US" w:eastAsia="zh-CN"/>
          <w14:textFill>
            <w14:solidFill>
              <w14:schemeClr w14:val="tx1"/>
            </w14:solidFill>
          </w14:textFill>
        </w:rPr>
        <w:t>交通部门对农村道路未履行行业监管责任</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default" w:ascii="仿宋" w:hAnsi="仿宋" w:eastAsia="仿宋" w:cs="仿宋"/>
          <w:color w:val="000000" w:themeColor="text1"/>
          <w:sz w:val="28"/>
          <w:szCs w:val="28"/>
          <w:lang w:val="en-US" w:eastAsia="zh-CN"/>
          <w14:textFill>
            <w14:solidFill>
              <w14:schemeClr w14:val="tx1"/>
            </w14:solidFill>
          </w14:textFill>
        </w:rPr>
        <w:t>（1）因交通局对扶贫资产的行业监管工作不够重视，未根据行业领域资产管理要求建立本区农村道路管护制度、完善管护标准和规范，指导并监督相关管护主体履行管护责任，行业监管责任落实不到位，导致农村道路管护协议没有针对性的管护标准，未明确管护人的具体职责</w:t>
      </w:r>
      <w:r>
        <w:rPr>
          <w:rFonts w:hint="eastAsia" w:ascii="仿宋" w:hAnsi="仿宋" w:eastAsia="仿宋" w:cs="仿宋"/>
          <w:color w:val="000000" w:themeColor="text1"/>
          <w:sz w:val="28"/>
          <w:szCs w:val="28"/>
          <w:lang w:val="en-US" w:eastAsia="zh-CN"/>
          <w14:textFill>
            <w14:solidFill>
              <w14:schemeClr w14:val="tx1"/>
            </w14:solidFill>
          </w14:textFill>
        </w:rPr>
        <w:t>。本次</w:t>
      </w:r>
      <w:r>
        <w:rPr>
          <w:rFonts w:hint="default" w:ascii="仿宋" w:hAnsi="仿宋" w:eastAsia="仿宋" w:cs="仿宋"/>
          <w:color w:val="000000" w:themeColor="text1"/>
          <w:sz w:val="28"/>
          <w:szCs w:val="28"/>
          <w:lang w:val="en-US" w:eastAsia="zh-CN"/>
          <w14:textFill>
            <w14:solidFill>
              <w14:schemeClr w14:val="tx1"/>
            </w14:solidFill>
          </w14:textFill>
        </w:rPr>
        <w:t>抽查的2条道路共计6处损毁无法追责溯源。</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（2）</w:t>
      </w:r>
      <w:r>
        <w:rPr>
          <w:rFonts w:hint="default" w:ascii="仿宋" w:hAnsi="仿宋" w:eastAsia="仿宋" w:cs="仿宋"/>
          <w:color w:val="000000" w:themeColor="text1"/>
          <w:sz w:val="28"/>
          <w:szCs w:val="28"/>
          <w:lang w:val="en-US" w:eastAsia="zh-CN"/>
          <w14:textFill>
            <w14:solidFill>
              <w14:schemeClr w14:val="tx1"/>
            </w14:solidFill>
          </w14:textFill>
        </w:rPr>
        <w:t>管护协议未明确管护人对扶贫资产的管护内容和管护责任</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default" w:ascii="仿宋" w:hAnsi="仿宋" w:eastAsia="仿宋" w:cs="仿宋"/>
          <w:color w:val="000000" w:themeColor="text1"/>
          <w:sz w:val="28"/>
          <w:szCs w:val="28"/>
          <w:lang w:val="en-US" w:eastAsia="zh-CN"/>
          <w14:textFill>
            <w14:solidFill>
              <w14:schemeClr w14:val="tx1"/>
            </w14:solidFill>
          </w14:textFill>
        </w:rPr>
        <w:t>抽查了</w:t>
      </w:r>
      <w:r>
        <w:rPr>
          <w:rFonts w:hint="eastAsia" w:ascii="仿宋" w:hAnsi="仿宋" w:eastAsia="仿宋" w:cs="仿宋"/>
          <w:color w:val="000000" w:themeColor="text1"/>
          <w:sz w:val="28"/>
          <w:szCs w:val="28"/>
          <w:lang w:val="en-US" w:eastAsia="zh-CN"/>
          <w14:textFill>
            <w14:solidFill>
              <w14:schemeClr w14:val="tx1"/>
            </w14:solidFill>
          </w14:textFill>
        </w:rPr>
        <w:t>B</w:t>
      </w:r>
      <w:r>
        <w:rPr>
          <w:rFonts w:hint="default" w:ascii="仿宋" w:hAnsi="仿宋" w:eastAsia="仿宋" w:cs="仿宋"/>
          <w:color w:val="000000" w:themeColor="text1"/>
          <w:sz w:val="28"/>
          <w:szCs w:val="28"/>
          <w:lang w:val="en-US" w:eastAsia="zh-CN"/>
          <w14:textFill>
            <w14:solidFill>
              <w14:schemeClr w14:val="tx1"/>
            </w14:solidFill>
          </w14:textFill>
        </w:rPr>
        <w:t>镇水山村、</w:t>
      </w:r>
      <w:r>
        <w:rPr>
          <w:rFonts w:hint="eastAsia" w:ascii="仿宋" w:hAnsi="仿宋" w:eastAsia="仿宋" w:cs="仿宋"/>
          <w:color w:val="000000" w:themeColor="text1"/>
          <w:sz w:val="28"/>
          <w:szCs w:val="28"/>
          <w:lang w:val="en-US" w:eastAsia="zh-CN"/>
          <w14:textFill>
            <w14:solidFill>
              <w14:schemeClr w14:val="tx1"/>
            </w14:solidFill>
          </w14:textFill>
        </w:rPr>
        <w:t>X</w:t>
      </w:r>
      <w:r>
        <w:rPr>
          <w:rFonts w:hint="default" w:ascii="仿宋" w:hAnsi="仿宋" w:eastAsia="仿宋" w:cs="仿宋"/>
          <w:color w:val="000000" w:themeColor="text1"/>
          <w:sz w:val="28"/>
          <w:szCs w:val="28"/>
          <w:lang w:val="en-US" w:eastAsia="zh-CN"/>
          <w14:textFill>
            <w14:solidFill>
              <w14:schemeClr w14:val="tx1"/>
            </w14:solidFill>
          </w14:textFill>
        </w:rPr>
        <w:t>村20项公益性资产的管护协议，发现20个公益性项目资产的管护协议均没有列出每项资产的具体内容以及具体管护责任范围，未明确具体管护责任。</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6.</w:t>
      </w:r>
      <w:r>
        <w:rPr>
          <w:rFonts w:hint="default" w:ascii="仿宋" w:hAnsi="仿宋" w:eastAsia="仿宋" w:cs="仿宋"/>
          <w:color w:val="000000" w:themeColor="text1"/>
          <w:sz w:val="28"/>
          <w:szCs w:val="28"/>
          <w:lang w:val="en-US" w:eastAsia="zh-CN"/>
          <w14:textFill>
            <w14:solidFill>
              <w14:schemeClr w14:val="tx1"/>
            </w14:solidFill>
          </w14:textFill>
        </w:rPr>
        <w:t>部分经营性资产未制定运营方案，投入资金收益存在损失风险</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B</w:t>
      </w:r>
      <w:r>
        <w:rPr>
          <w:rFonts w:hint="default" w:ascii="仿宋" w:hAnsi="仿宋" w:eastAsia="仿宋" w:cs="仿宋"/>
          <w:color w:val="000000" w:themeColor="text1"/>
          <w:sz w:val="28"/>
          <w:szCs w:val="28"/>
          <w:lang w:val="en-US" w:eastAsia="zh-CN"/>
          <w14:textFill>
            <w14:solidFill>
              <w14:schemeClr w14:val="tx1"/>
            </w14:solidFill>
          </w14:textFill>
        </w:rPr>
        <w:t>镇新安村大棚生产食用菌项目（一期）投资40万元，其中：2022年1月18日累计付款25万元用于</w:t>
      </w:r>
      <w:r>
        <w:rPr>
          <w:rFonts w:hint="eastAsia" w:ascii="仿宋" w:hAnsi="仿宋" w:eastAsia="仿宋" w:cs="仿宋"/>
          <w:color w:val="000000" w:themeColor="text1"/>
          <w:sz w:val="28"/>
          <w:szCs w:val="28"/>
          <w:lang w:val="en-US" w:eastAsia="zh-CN"/>
          <w14:textFill>
            <w14:solidFill>
              <w14:schemeClr w14:val="tx1"/>
            </w14:solidFill>
          </w14:textFill>
        </w:rPr>
        <w:t>L</w:t>
      </w:r>
      <w:r>
        <w:rPr>
          <w:rFonts w:hint="default" w:ascii="仿宋" w:hAnsi="仿宋" w:eastAsia="仿宋" w:cs="仿宋"/>
          <w:color w:val="000000" w:themeColor="text1"/>
          <w:sz w:val="28"/>
          <w:szCs w:val="28"/>
          <w:lang w:val="en-US" w:eastAsia="zh-CN"/>
          <w14:textFill>
            <w14:solidFill>
              <w14:schemeClr w14:val="tx1"/>
            </w14:solidFill>
          </w14:textFill>
        </w:rPr>
        <w:t>市</w:t>
      </w:r>
      <w:r>
        <w:rPr>
          <w:rFonts w:hint="eastAsia" w:ascii="仿宋" w:hAnsi="仿宋" w:eastAsia="仿宋" w:cs="仿宋"/>
          <w:color w:val="000000" w:themeColor="text1"/>
          <w:sz w:val="28"/>
          <w:szCs w:val="28"/>
          <w:lang w:val="en-US" w:eastAsia="zh-CN"/>
          <w14:textFill>
            <w14:solidFill>
              <w14:schemeClr w14:val="tx1"/>
            </w14:solidFill>
          </w14:textFill>
        </w:rPr>
        <w:t>HX</w:t>
      </w:r>
      <w:r>
        <w:rPr>
          <w:rFonts w:hint="default" w:ascii="仿宋" w:hAnsi="仿宋" w:eastAsia="仿宋" w:cs="仿宋"/>
          <w:color w:val="000000" w:themeColor="text1"/>
          <w:sz w:val="28"/>
          <w:szCs w:val="28"/>
          <w:lang w:val="en-US" w:eastAsia="zh-CN"/>
          <w14:textFill>
            <w14:solidFill>
              <w14:schemeClr w14:val="tx1"/>
            </w14:solidFill>
          </w14:textFill>
        </w:rPr>
        <w:t>建筑工程有限公司建设食用菌大棚，2020年12月2日投入15万元用于</w:t>
      </w:r>
      <w:r>
        <w:rPr>
          <w:rFonts w:hint="eastAsia" w:ascii="仿宋" w:hAnsi="仿宋" w:eastAsia="仿宋" w:cs="仿宋"/>
          <w:color w:val="000000" w:themeColor="text1"/>
          <w:sz w:val="28"/>
          <w:szCs w:val="28"/>
          <w:lang w:val="en-US" w:eastAsia="zh-CN"/>
          <w14:textFill>
            <w14:solidFill>
              <w14:schemeClr w14:val="tx1"/>
            </w14:solidFill>
          </w14:textFill>
        </w:rPr>
        <w:t>L</w:t>
      </w:r>
      <w:r>
        <w:rPr>
          <w:rFonts w:hint="default" w:ascii="仿宋" w:hAnsi="仿宋" w:eastAsia="仿宋" w:cs="仿宋"/>
          <w:color w:val="000000" w:themeColor="text1"/>
          <w:sz w:val="28"/>
          <w:szCs w:val="28"/>
          <w:lang w:val="en-US" w:eastAsia="zh-CN"/>
          <w14:textFill>
            <w14:solidFill>
              <w14:schemeClr w14:val="tx1"/>
            </w14:solidFill>
          </w14:textFill>
        </w:rPr>
        <w:t>市农股农业发展股份有限公司采购菌种种植；生产食用菌大棚建设好后供</w:t>
      </w:r>
      <w:r>
        <w:rPr>
          <w:rFonts w:hint="eastAsia" w:ascii="仿宋" w:hAnsi="仿宋" w:eastAsia="仿宋" w:cs="仿宋"/>
          <w:color w:val="000000" w:themeColor="text1"/>
          <w:sz w:val="28"/>
          <w:szCs w:val="28"/>
          <w:lang w:val="en-US" w:eastAsia="zh-CN"/>
          <w14:textFill>
            <w14:solidFill>
              <w14:schemeClr w14:val="tx1"/>
            </w14:solidFill>
          </w14:textFill>
        </w:rPr>
        <w:t>L</w:t>
      </w:r>
      <w:r>
        <w:rPr>
          <w:rFonts w:hint="default" w:ascii="仿宋" w:hAnsi="仿宋" w:eastAsia="仿宋" w:cs="仿宋"/>
          <w:color w:val="000000" w:themeColor="text1"/>
          <w:sz w:val="28"/>
          <w:szCs w:val="28"/>
          <w:lang w:val="en-US" w:eastAsia="zh-CN"/>
          <w14:textFill>
            <w14:solidFill>
              <w14:schemeClr w14:val="tx1"/>
            </w14:solidFill>
          </w14:textFill>
        </w:rPr>
        <w:t>市农股农业发展股份有限公司（</w:t>
      </w:r>
      <w:r>
        <w:rPr>
          <w:rFonts w:hint="eastAsia" w:ascii="仿宋" w:hAnsi="仿宋" w:eastAsia="仿宋" w:cs="仿宋"/>
          <w:color w:val="000000" w:themeColor="text1"/>
          <w:sz w:val="28"/>
          <w:szCs w:val="28"/>
          <w:lang w:val="en-US" w:eastAsia="zh-CN"/>
          <w14:textFill>
            <w14:solidFill>
              <w14:schemeClr w14:val="tx1"/>
            </w14:solidFill>
          </w14:textFill>
        </w:rPr>
        <w:t>X</w:t>
      </w:r>
      <w:r>
        <w:rPr>
          <w:rFonts w:hint="default" w:ascii="仿宋" w:hAnsi="仿宋" w:eastAsia="仿宋" w:cs="仿宋"/>
          <w:color w:val="000000" w:themeColor="text1"/>
          <w:sz w:val="28"/>
          <w:szCs w:val="28"/>
          <w:lang w:val="en-US" w:eastAsia="zh-CN"/>
          <w14:textFill>
            <w14:solidFill>
              <w14:schemeClr w14:val="tx1"/>
            </w14:solidFill>
          </w14:textFill>
        </w:rPr>
        <w:t>村村民委员会成立的公司）用于经营食用菌，但没有签订项目运营或收益分配协议，没有明确收益分配和相关权益，导致2021年农股农发收到的菌棒收入35,204.00元的净利润额和可分配额无法确定，在21年集体经济收益分配方案中将1.69万元利用财政扶贫资金取得收益纳入可分配范围的行为无制度依据，无法确定新安村村委在该项目中应获取的收益，投入资金收益存在损失风险。</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7.</w:t>
      </w:r>
      <w:r>
        <w:rPr>
          <w:rFonts w:hint="default" w:ascii="仿宋" w:hAnsi="仿宋" w:eastAsia="仿宋" w:cs="仿宋"/>
          <w:color w:val="000000" w:themeColor="text1"/>
          <w:sz w:val="28"/>
          <w:szCs w:val="28"/>
          <w:lang w:val="en-US" w:eastAsia="zh-CN"/>
          <w14:textFill>
            <w14:solidFill>
              <w14:schemeClr w14:val="tx1"/>
            </w14:solidFill>
          </w14:textFill>
        </w:rPr>
        <w:t>村集体经济投资方向欠妥</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S</w:t>
      </w:r>
      <w:r>
        <w:rPr>
          <w:rFonts w:hint="default" w:ascii="仿宋" w:hAnsi="仿宋" w:eastAsia="仿宋" w:cs="仿宋"/>
          <w:color w:val="000000" w:themeColor="text1"/>
          <w:sz w:val="28"/>
          <w:szCs w:val="28"/>
          <w:lang w:val="en-US" w:eastAsia="zh-CN"/>
          <w14:textFill>
            <w14:solidFill>
              <w14:schemeClr w14:val="tx1"/>
            </w14:solidFill>
          </w14:textFill>
        </w:rPr>
        <w:t>村于2023年4月14日利用村集体经济项目公积公益金5.85万元投资购买五菱汽车1辆，租借</w:t>
      </w:r>
      <w:r>
        <w:rPr>
          <w:rFonts w:hint="eastAsia" w:ascii="仿宋" w:hAnsi="仿宋" w:eastAsia="仿宋" w:cs="仿宋"/>
          <w:color w:val="000000" w:themeColor="text1"/>
          <w:sz w:val="28"/>
          <w:szCs w:val="28"/>
          <w:lang w:val="en-US" w:eastAsia="zh-CN"/>
          <w14:textFill>
            <w14:solidFill>
              <w14:schemeClr w14:val="tx1"/>
            </w14:solidFill>
          </w14:textFill>
        </w:rPr>
        <w:t>B</w:t>
      </w:r>
      <w:r>
        <w:rPr>
          <w:rFonts w:hint="default" w:ascii="仿宋" w:hAnsi="仿宋" w:eastAsia="仿宋" w:cs="仿宋"/>
          <w:color w:val="000000" w:themeColor="text1"/>
          <w:sz w:val="28"/>
          <w:szCs w:val="28"/>
          <w:lang w:val="en-US" w:eastAsia="zh-CN"/>
          <w14:textFill>
            <w14:solidFill>
              <w14:schemeClr w14:val="tx1"/>
            </w14:solidFill>
          </w14:textFill>
        </w:rPr>
        <w:t>镇人民政府，并签订租赁合同，租赁期限为2023年5月1日至2024年4月30日，租金6万元，并于</w:t>
      </w:r>
      <w:r>
        <w:rPr>
          <w:rFonts w:hint="eastAsia" w:ascii="仿宋" w:hAnsi="仿宋" w:eastAsia="仿宋" w:cs="仿宋"/>
          <w:color w:val="000000" w:themeColor="text1"/>
          <w:sz w:val="28"/>
          <w:szCs w:val="28"/>
          <w:lang w:val="en-US" w:eastAsia="zh-CN"/>
          <w14:textFill>
            <w14:solidFill>
              <w14:schemeClr w14:val="tx1"/>
            </w14:solidFill>
          </w14:textFill>
        </w:rPr>
        <w:t>当年</w:t>
      </w:r>
      <w:r>
        <w:rPr>
          <w:rFonts w:hint="default" w:ascii="仿宋" w:hAnsi="仿宋" w:eastAsia="仿宋" w:cs="仿宋"/>
          <w:color w:val="000000" w:themeColor="text1"/>
          <w:sz w:val="28"/>
          <w:szCs w:val="28"/>
          <w:lang w:val="en-US" w:eastAsia="zh-CN"/>
          <w14:textFill>
            <w14:solidFill>
              <w14:schemeClr w14:val="tx1"/>
            </w14:solidFill>
          </w14:textFill>
        </w:rPr>
        <w:t>５月１日正式将车辆交付</w:t>
      </w:r>
      <w:r>
        <w:rPr>
          <w:rFonts w:hint="eastAsia" w:ascii="仿宋" w:hAnsi="仿宋" w:eastAsia="仿宋" w:cs="仿宋"/>
          <w:color w:val="000000" w:themeColor="text1"/>
          <w:sz w:val="28"/>
          <w:szCs w:val="28"/>
          <w:lang w:val="en-US" w:eastAsia="zh-CN"/>
          <w14:textFill>
            <w14:solidFill>
              <w14:schemeClr w14:val="tx1"/>
            </w14:solidFill>
          </w14:textFill>
        </w:rPr>
        <w:t>B</w:t>
      </w:r>
      <w:r>
        <w:rPr>
          <w:rFonts w:hint="default" w:ascii="仿宋" w:hAnsi="仿宋" w:eastAsia="仿宋" w:cs="仿宋"/>
          <w:color w:val="000000" w:themeColor="text1"/>
          <w:sz w:val="28"/>
          <w:szCs w:val="28"/>
          <w:lang w:val="en-US" w:eastAsia="zh-CN"/>
          <w14:textFill>
            <w14:solidFill>
              <w14:schemeClr w14:val="tx1"/>
            </w14:solidFill>
          </w14:textFill>
        </w:rPr>
        <w:t>镇人民政府使用</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default" w:ascii="仿宋" w:hAnsi="仿宋" w:eastAsia="仿宋" w:cs="仿宋"/>
          <w:color w:val="000000" w:themeColor="text1"/>
          <w:sz w:val="28"/>
          <w:szCs w:val="28"/>
          <w:lang w:val="en-US" w:eastAsia="zh-CN"/>
          <w14:textFill>
            <w14:solidFill>
              <w14:schemeClr w14:val="tx1"/>
            </w14:solidFill>
          </w14:textFill>
        </w:rPr>
        <w:t>按照合同约定，车辆交付使用后，承租方</w:t>
      </w:r>
      <w:r>
        <w:rPr>
          <w:rFonts w:hint="eastAsia" w:ascii="仿宋" w:hAnsi="仿宋" w:eastAsia="仿宋" w:cs="仿宋"/>
          <w:color w:val="000000" w:themeColor="text1"/>
          <w:sz w:val="28"/>
          <w:szCs w:val="28"/>
          <w:lang w:val="en-US" w:eastAsia="zh-CN"/>
          <w14:textFill>
            <w14:solidFill>
              <w14:schemeClr w14:val="tx1"/>
            </w14:solidFill>
          </w14:textFill>
        </w:rPr>
        <w:t>B</w:t>
      </w:r>
      <w:r>
        <w:rPr>
          <w:rFonts w:hint="default" w:ascii="仿宋" w:hAnsi="仿宋" w:eastAsia="仿宋" w:cs="仿宋"/>
          <w:color w:val="000000" w:themeColor="text1"/>
          <w:sz w:val="28"/>
          <w:szCs w:val="28"/>
          <w:lang w:val="en-US" w:eastAsia="zh-CN"/>
          <w14:textFill>
            <w14:solidFill>
              <w14:schemeClr w14:val="tx1"/>
            </w14:solidFill>
          </w14:textFill>
        </w:rPr>
        <w:t>镇人民政府应立即支付6万元给</w:t>
      </w:r>
      <w:r>
        <w:rPr>
          <w:rFonts w:hint="eastAsia" w:ascii="仿宋" w:hAnsi="仿宋" w:eastAsia="仿宋" w:cs="仿宋"/>
          <w:color w:val="000000" w:themeColor="text1"/>
          <w:sz w:val="28"/>
          <w:szCs w:val="28"/>
          <w:lang w:val="en-US" w:eastAsia="zh-CN"/>
          <w14:textFill>
            <w14:solidFill>
              <w14:schemeClr w14:val="tx1"/>
            </w14:solidFill>
          </w14:textFill>
        </w:rPr>
        <w:t>S</w:t>
      </w:r>
      <w:r>
        <w:rPr>
          <w:rFonts w:hint="default" w:ascii="仿宋" w:hAnsi="仿宋" w:eastAsia="仿宋" w:cs="仿宋"/>
          <w:color w:val="000000" w:themeColor="text1"/>
          <w:sz w:val="28"/>
          <w:szCs w:val="28"/>
          <w:lang w:val="en-US" w:eastAsia="zh-CN"/>
          <w14:textFill>
            <w14:solidFill>
              <w14:schemeClr w14:val="tx1"/>
            </w14:solidFill>
          </w14:textFill>
        </w:rPr>
        <w:t>村委；其次，</w:t>
      </w:r>
      <w:r>
        <w:rPr>
          <w:rFonts w:hint="eastAsia" w:ascii="仿宋" w:hAnsi="仿宋" w:eastAsia="仿宋" w:cs="仿宋"/>
          <w:color w:val="000000" w:themeColor="text1"/>
          <w:sz w:val="28"/>
          <w:szCs w:val="28"/>
          <w:lang w:val="en-US" w:eastAsia="zh-CN"/>
          <w14:textFill>
            <w14:solidFill>
              <w14:schemeClr w14:val="tx1"/>
            </w14:solidFill>
          </w14:textFill>
        </w:rPr>
        <w:t>B</w:t>
      </w:r>
      <w:r>
        <w:rPr>
          <w:rFonts w:hint="default" w:ascii="仿宋" w:hAnsi="仿宋" w:eastAsia="仿宋" w:cs="仿宋"/>
          <w:color w:val="000000" w:themeColor="text1"/>
          <w:sz w:val="28"/>
          <w:szCs w:val="28"/>
          <w:lang w:val="en-US" w:eastAsia="zh-CN"/>
          <w14:textFill>
            <w14:solidFill>
              <w14:schemeClr w14:val="tx1"/>
            </w14:solidFill>
          </w14:textFill>
        </w:rPr>
        <w:t>镇人民政府公务用车以６万元方式租借同时欠妥，因6万元足以购买五菱汽车1辆。</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8.</w:t>
      </w:r>
      <w:r>
        <w:rPr>
          <w:rFonts w:hint="default" w:ascii="仿宋" w:hAnsi="仿宋" w:eastAsia="仿宋" w:cs="仿宋"/>
          <w:color w:val="000000" w:themeColor="text1"/>
          <w:sz w:val="28"/>
          <w:szCs w:val="28"/>
          <w:lang w:val="en-US" w:eastAsia="zh-CN"/>
          <w14:textFill>
            <w14:solidFill>
              <w14:schemeClr w14:val="tx1"/>
            </w14:solidFill>
          </w14:textFill>
        </w:rPr>
        <w:t>村集体经济本金闲置、本金合同约定逾期未收回</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default" w:ascii="仿宋" w:hAnsi="仿宋" w:eastAsia="仿宋" w:cs="仿宋"/>
          <w:color w:val="000000" w:themeColor="text1"/>
          <w:sz w:val="28"/>
          <w:szCs w:val="28"/>
          <w:lang w:val="en-US" w:eastAsia="zh-CN"/>
          <w14:textFill>
            <w14:solidFill>
              <w14:schemeClr w14:val="tx1"/>
            </w14:solidFill>
          </w14:textFill>
        </w:rPr>
        <w:t>经抽查，村集体经济资金</w:t>
      </w:r>
      <w:r>
        <w:rPr>
          <w:rFonts w:hint="eastAsia" w:ascii="仿宋" w:hAnsi="仿宋" w:eastAsia="仿宋" w:cs="仿宋"/>
          <w:color w:val="000000" w:themeColor="text1"/>
          <w:sz w:val="28"/>
          <w:szCs w:val="28"/>
          <w:lang w:val="en-US" w:eastAsia="zh-CN"/>
          <w14:textFill>
            <w14:solidFill>
              <w14:schemeClr w14:val="tx1"/>
            </w14:solidFill>
          </w14:textFill>
        </w:rPr>
        <w:t>10</w:t>
      </w:r>
      <w:r>
        <w:rPr>
          <w:rFonts w:hint="default" w:ascii="仿宋" w:hAnsi="仿宋" w:eastAsia="仿宋" w:cs="仿宋"/>
          <w:color w:val="000000" w:themeColor="text1"/>
          <w:sz w:val="28"/>
          <w:szCs w:val="28"/>
          <w:lang w:val="en-US" w:eastAsia="zh-CN"/>
          <w14:textFill>
            <w14:solidFill>
              <w14:schemeClr w14:val="tx1"/>
            </w14:solidFill>
          </w14:textFill>
        </w:rPr>
        <w:t>万元资金闲置，30万元本金被占用，其中24.73万元被占用5个月，5.27万未收回：</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default" w:ascii="仿宋" w:hAnsi="仿宋" w:eastAsia="仿宋" w:cs="仿宋"/>
          <w:color w:val="000000" w:themeColor="text1"/>
          <w:sz w:val="28"/>
          <w:szCs w:val="28"/>
          <w:lang w:val="en-US" w:eastAsia="zh-CN"/>
          <w14:textFill>
            <w14:solidFill>
              <w14:schemeClr w14:val="tx1"/>
            </w14:solidFill>
          </w14:textFill>
        </w:rPr>
        <w:t>①</w:t>
      </w:r>
      <w:r>
        <w:rPr>
          <w:rFonts w:hint="eastAsia" w:ascii="仿宋" w:hAnsi="仿宋" w:eastAsia="仿宋" w:cs="仿宋"/>
          <w:color w:val="000000" w:themeColor="text1"/>
          <w:sz w:val="28"/>
          <w:szCs w:val="28"/>
          <w:lang w:val="en-US" w:eastAsia="zh-CN"/>
          <w14:textFill>
            <w14:solidFill>
              <w14:schemeClr w14:val="tx1"/>
            </w14:solidFill>
          </w14:textFill>
        </w:rPr>
        <w:t>B</w:t>
      </w:r>
      <w:r>
        <w:rPr>
          <w:rFonts w:hint="default" w:ascii="仿宋" w:hAnsi="仿宋" w:eastAsia="仿宋" w:cs="仿宋"/>
          <w:color w:val="000000" w:themeColor="text1"/>
          <w:sz w:val="28"/>
          <w:szCs w:val="28"/>
          <w:lang w:val="en-US" w:eastAsia="zh-CN"/>
          <w14:textFill>
            <w14:solidFill>
              <w14:schemeClr w14:val="tx1"/>
            </w14:solidFill>
          </w14:textFill>
        </w:rPr>
        <w:t>镇</w:t>
      </w:r>
      <w:r>
        <w:rPr>
          <w:rFonts w:hint="eastAsia" w:ascii="仿宋" w:hAnsi="仿宋" w:eastAsia="仿宋" w:cs="仿宋"/>
          <w:color w:val="000000" w:themeColor="text1"/>
          <w:sz w:val="28"/>
          <w:szCs w:val="28"/>
          <w:lang w:val="en-US" w:eastAsia="zh-CN"/>
          <w14:textFill>
            <w14:solidFill>
              <w14:schemeClr w14:val="tx1"/>
            </w14:solidFill>
          </w14:textFill>
        </w:rPr>
        <w:t>X</w:t>
      </w:r>
      <w:r>
        <w:rPr>
          <w:rFonts w:hint="default" w:ascii="仿宋" w:hAnsi="仿宋" w:eastAsia="仿宋" w:cs="仿宋"/>
          <w:color w:val="000000" w:themeColor="text1"/>
          <w:sz w:val="28"/>
          <w:szCs w:val="28"/>
          <w:lang w:val="en-US" w:eastAsia="zh-CN"/>
          <w14:textFill>
            <w14:solidFill>
              <w14:schemeClr w14:val="tx1"/>
            </w14:solidFill>
          </w14:textFill>
        </w:rPr>
        <w:t>村集体经济组织项目投资款10万元，2022年3月至今闲置无收益。</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default" w:ascii="仿宋" w:hAnsi="仿宋" w:eastAsia="仿宋" w:cs="仿宋"/>
          <w:color w:val="000000" w:themeColor="text1"/>
          <w:sz w:val="28"/>
          <w:szCs w:val="28"/>
          <w:lang w:val="en-US" w:eastAsia="zh-CN"/>
          <w14:textFill>
            <w14:solidFill>
              <w14:schemeClr w14:val="tx1"/>
            </w14:solidFill>
          </w14:textFill>
        </w:rPr>
        <w:t>②2019</w:t>
      </w:r>
      <w:r>
        <w:rPr>
          <w:rFonts w:hint="eastAsia" w:ascii="仿宋" w:hAnsi="仿宋" w:eastAsia="仿宋" w:cs="仿宋"/>
          <w:color w:val="000000" w:themeColor="text1"/>
          <w:sz w:val="28"/>
          <w:szCs w:val="28"/>
          <w:lang w:val="en-US" w:eastAsia="zh-CN"/>
          <w14:textFill>
            <w14:solidFill>
              <w14:schemeClr w14:val="tx1"/>
            </w14:solidFill>
          </w14:textFill>
        </w:rPr>
        <w:t>年B</w:t>
      </w:r>
      <w:r>
        <w:rPr>
          <w:rFonts w:hint="default" w:ascii="仿宋" w:hAnsi="仿宋" w:eastAsia="仿宋" w:cs="仿宋"/>
          <w:color w:val="000000" w:themeColor="text1"/>
          <w:sz w:val="28"/>
          <w:szCs w:val="28"/>
          <w:lang w:val="en-US" w:eastAsia="zh-CN"/>
          <w14:textFill>
            <w14:solidFill>
              <w14:schemeClr w14:val="tx1"/>
            </w14:solidFill>
          </w14:textFill>
        </w:rPr>
        <w:t>镇</w:t>
      </w:r>
      <w:r>
        <w:rPr>
          <w:rFonts w:hint="eastAsia" w:ascii="仿宋" w:hAnsi="仿宋" w:eastAsia="仿宋" w:cs="仿宋"/>
          <w:color w:val="000000" w:themeColor="text1"/>
          <w:sz w:val="28"/>
          <w:szCs w:val="28"/>
          <w:lang w:val="en-US" w:eastAsia="zh-CN"/>
          <w14:textFill>
            <w14:solidFill>
              <w14:schemeClr w14:val="tx1"/>
            </w14:solidFill>
          </w14:textFill>
        </w:rPr>
        <w:t>X</w:t>
      </w:r>
      <w:r>
        <w:rPr>
          <w:rFonts w:hint="default" w:ascii="仿宋" w:hAnsi="仿宋" w:eastAsia="仿宋" w:cs="仿宋"/>
          <w:color w:val="000000" w:themeColor="text1"/>
          <w:sz w:val="28"/>
          <w:szCs w:val="28"/>
          <w:lang w:val="en-US" w:eastAsia="zh-CN"/>
          <w14:textFill>
            <w14:solidFill>
              <w14:schemeClr w14:val="tx1"/>
            </w14:solidFill>
          </w14:textFill>
        </w:rPr>
        <w:t>村集体经济项目投资款30万元，按合同约定应于2022年7月收回</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default" w:ascii="仿宋" w:hAnsi="仿宋" w:eastAsia="仿宋" w:cs="仿宋"/>
          <w:color w:val="000000" w:themeColor="text1"/>
          <w:sz w:val="28"/>
          <w:szCs w:val="28"/>
          <w:lang w:val="en-US" w:eastAsia="zh-CN"/>
          <w14:textFill>
            <w14:solidFill>
              <w14:schemeClr w14:val="tx1"/>
            </w14:solidFill>
          </w14:textFill>
        </w:rPr>
        <w:t>实际于2022年12月收回投资款24.73万元，截至审计截止10月审计时仍有5.27万元投资本金未收回。</w:t>
      </w:r>
    </w:p>
    <w:p>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9.</w:t>
      </w:r>
      <w:r>
        <w:rPr>
          <w:rFonts w:hint="default" w:ascii="仿宋" w:hAnsi="仿宋" w:eastAsia="仿宋" w:cs="仿宋"/>
          <w:color w:val="000000" w:themeColor="text1"/>
          <w:sz w:val="28"/>
          <w:szCs w:val="28"/>
          <w:lang w:val="en-US" w:eastAsia="zh-CN"/>
          <w14:textFill>
            <w14:solidFill>
              <w14:schemeClr w14:val="tx1"/>
            </w14:solidFill>
          </w14:textFill>
        </w:rPr>
        <w:t>村集体经济投资无法按合同执行，导致收益无保障</w:t>
      </w:r>
    </w:p>
    <w:p>
      <w:pPr>
        <w:keepNext w:val="0"/>
        <w:keepLines w:val="0"/>
        <w:pageBreakBefore w:val="0"/>
        <w:widowControl w:val="0"/>
        <w:kinsoku/>
        <w:wordWrap/>
        <w:overflowPunct/>
        <w:topLinePunct w:val="0"/>
        <w:autoSpaceDE/>
        <w:autoSpaceDN/>
        <w:bidi w:val="0"/>
        <w:adjustRightInd/>
        <w:spacing w:line="560" w:lineRule="exact"/>
        <w:ind w:left="0" w:firstLine="560" w:firstLineChars="200"/>
        <w:textAlignment w:val="auto"/>
        <w:rPr>
          <w:rFonts w:hint="default" w:ascii="仿宋" w:hAnsi="仿宋" w:eastAsia="仿宋" w:cs="仿宋"/>
          <w:color w:val="000000" w:themeColor="text1"/>
          <w:sz w:val="28"/>
          <w:szCs w:val="28"/>
          <w:lang w:val="en-US" w:eastAsia="zh-CN"/>
          <w14:textFill>
            <w14:solidFill>
              <w14:schemeClr w14:val="tx1"/>
            </w14:solidFill>
          </w14:textFill>
        </w:rPr>
      </w:pPr>
      <w:r>
        <w:rPr>
          <w:rFonts w:hint="default" w:ascii="仿宋" w:hAnsi="仿宋" w:eastAsia="仿宋" w:cs="仿宋"/>
          <w:color w:val="000000" w:themeColor="text1"/>
          <w:sz w:val="28"/>
          <w:szCs w:val="28"/>
          <w:lang w:val="en-US" w:eastAsia="zh-CN"/>
          <w14:textFill>
            <w14:solidFill>
              <w14:schemeClr w14:val="tx1"/>
            </w14:solidFill>
          </w14:textFill>
        </w:rPr>
        <w:t>2019</w:t>
      </w:r>
      <w:r>
        <w:rPr>
          <w:rFonts w:hint="eastAsia" w:ascii="仿宋" w:hAnsi="仿宋" w:eastAsia="仿宋" w:cs="仿宋"/>
          <w:color w:val="000000" w:themeColor="text1"/>
          <w:sz w:val="28"/>
          <w:szCs w:val="28"/>
          <w:lang w:val="en-US" w:eastAsia="zh-CN"/>
          <w14:textFill>
            <w14:solidFill>
              <w14:schemeClr w14:val="tx1"/>
            </w14:solidFill>
          </w14:textFill>
        </w:rPr>
        <w:t>年B</w:t>
      </w:r>
      <w:r>
        <w:rPr>
          <w:rFonts w:hint="default" w:ascii="仿宋" w:hAnsi="仿宋" w:eastAsia="仿宋" w:cs="仿宋"/>
          <w:color w:val="000000" w:themeColor="text1"/>
          <w:sz w:val="28"/>
          <w:szCs w:val="28"/>
          <w:lang w:val="en-US" w:eastAsia="zh-CN"/>
          <w14:textFill>
            <w14:solidFill>
              <w14:schemeClr w14:val="tx1"/>
            </w14:solidFill>
          </w14:textFill>
        </w:rPr>
        <w:t>镇</w:t>
      </w:r>
      <w:r>
        <w:rPr>
          <w:rFonts w:hint="eastAsia" w:ascii="仿宋" w:hAnsi="仿宋" w:eastAsia="仿宋" w:cs="仿宋"/>
          <w:color w:val="000000" w:themeColor="text1"/>
          <w:sz w:val="28"/>
          <w:szCs w:val="28"/>
          <w:lang w:val="en-US" w:eastAsia="zh-CN"/>
          <w14:textFill>
            <w14:solidFill>
              <w14:schemeClr w14:val="tx1"/>
            </w14:solidFill>
          </w14:textFill>
        </w:rPr>
        <w:t>X</w:t>
      </w:r>
      <w:r>
        <w:rPr>
          <w:rFonts w:hint="default" w:ascii="仿宋" w:hAnsi="仿宋" w:eastAsia="仿宋" w:cs="仿宋"/>
          <w:color w:val="000000" w:themeColor="text1"/>
          <w:sz w:val="28"/>
          <w:szCs w:val="28"/>
          <w:lang w:val="en-US" w:eastAsia="zh-CN"/>
          <w14:textFill>
            <w14:solidFill>
              <w14:schemeClr w14:val="tx1"/>
            </w14:solidFill>
          </w14:textFill>
        </w:rPr>
        <w:t>村集体经济项目30万元，于2019年7月投资</w:t>
      </w:r>
      <w:r>
        <w:rPr>
          <w:rFonts w:hint="eastAsia" w:ascii="仿宋" w:hAnsi="仿宋" w:eastAsia="仿宋" w:cs="仿宋"/>
          <w:color w:val="000000" w:themeColor="text1"/>
          <w:sz w:val="28"/>
          <w:szCs w:val="28"/>
          <w:lang w:val="en-US" w:eastAsia="zh-CN"/>
          <w14:textFill>
            <w14:solidFill>
              <w14:schemeClr w14:val="tx1"/>
            </w14:solidFill>
          </w14:textFill>
        </w:rPr>
        <w:t>L</w:t>
      </w:r>
      <w:r>
        <w:rPr>
          <w:rFonts w:hint="default" w:ascii="仿宋" w:hAnsi="仿宋" w:eastAsia="仿宋" w:cs="仿宋"/>
          <w:color w:val="000000" w:themeColor="text1"/>
          <w:sz w:val="28"/>
          <w:szCs w:val="28"/>
          <w:lang w:val="en-US" w:eastAsia="zh-CN"/>
          <w14:textFill>
            <w14:solidFill>
              <w14:schemeClr w14:val="tx1"/>
            </w14:solidFill>
          </w14:textFill>
        </w:rPr>
        <w:t>市</w:t>
      </w:r>
      <w:r>
        <w:rPr>
          <w:rFonts w:hint="eastAsia" w:ascii="仿宋" w:hAnsi="仿宋" w:eastAsia="仿宋" w:cs="仿宋"/>
          <w:color w:val="000000" w:themeColor="text1"/>
          <w:sz w:val="28"/>
          <w:szCs w:val="28"/>
          <w:lang w:val="en-US" w:eastAsia="zh-CN"/>
          <w14:textFill>
            <w14:solidFill>
              <w14:schemeClr w14:val="tx1"/>
            </w14:solidFill>
          </w14:textFill>
        </w:rPr>
        <w:t>某</w:t>
      </w:r>
      <w:r>
        <w:rPr>
          <w:rFonts w:hint="default" w:ascii="仿宋" w:hAnsi="仿宋" w:eastAsia="仿宋" w:cs="仿宋"/>
          <w:color w:val="000000" w:themeColor="text1"/>
          <w:sz w:val="28"/>
          <w:szCs w:val="28"/>
          <w:lang w:val="en-US" w:eastAsia="zh-CN"/>
          <w14:textFill>
            <w14:solidFill>
              <w14:schemeClr w14:val="tx1"/>
            </w14:solidFill>
          </w14:textFill>
        </w:rPr>
        <w:t>水产养殖专业合作社，投资期限2019年8月1日至2022年7月31日，协议约定投资收益共计9万元；截至2023年10月审计时，协议已到期1年3个月，</w:t>
      </w:r>
      <w:r>
        <w:rPr>
          <w:rFonts w:hint="eastAsia" w:ascii="仿宋" w:hAnsi="仿宋" w:eastAsia="仿宋" w:cs="仿宋"/>
          <w:color w:val="000000" w:themeColor="text1"/>
          <w:sz w:val="28"/>
          <w:szCs w:val="28"/>
          <w:lang w:val="en-US" w:eastAsia="zh-CN"/>
          <w14:textFill>
            <w14:solidFill>
              <w14:schemeClr w14:val="tx1"/>
            </w14:solidFill>
          </w14:textFill>
        </w:rPr>
        <w:t>仅</w:t>
      </w:r>
      <w:r>
        <w:rPr>
          <w:rFonts w:hint="default" w:ascii="仿宋" w:hAnsi="仿宋" w:eastAsia="仿宋" w:cs="仿宋"/>
          <w:color w:val="000000" w:themeColor="text1"/>
          <w:sz w:val="28"/>
          <w:szCs w:val="28"/>
          <w:lang w:val="en-US" w:eastAsia="zh-CN"/>
          <w14:textFill>
            <w14:solidFill>
              <w14:schemeClr w14:val="tx1"/>
            </w14:solidFill>
          </w14:textFill>
        </w:rPr>
        <w:t>收到3万元，剩余6万元没有兑现，逾期1年3个月。</w:t>
      </w:r>
    </w:p>
    <w:p>
      <w:pPr>
        <w:pStyle w:val="3"/>
        <w:keepNext w:val="0"/>
        <w:keepLines w:val="0"/>
        <w:pageBreakBefore w:val="0"/>
        <w:widowControl w:val="0"/>
        <w:numPr>
          <w:ilvl w:val="0"/>
          <w:numId w:val="0"/>
        </w:numPr>
        <w:kinsoku/>
        <w:wordWrap/>
        <w:overflowPunct/>
        <w:topLinePunct w:val="0"/>
        <w:autoSpaceDE/>
        <w:autoSpaceDN/>
        <w:bidi w:val="0"/>
        <w:adjustRightInd/>
        <w:spacing w:line="560" w:lineRule="exact"/>
        <w:ind w:leftChars="0" w:firstLine="560" w:firstLineChars="200"/>
        <w:textAlignment w:val="auto"/>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（七）审计建议</w:t>
      </w:r>
    </w:p>
    <w:p>
      <w:pPr>
        <w:pStyle w:val="4"/>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560" w:firstLineChars="200"/>
        <w:jc w:val="both"/>
        <w:textAlignment w:val="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1.全面梳理核对资产信息，保证数据的全面准确</w:t>
      </w:r>
    </w:p>
    <w:p>
      <w:pPr>
        <w:pStyle w:val="4"/>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乡村振兴局及项目资产各行业主管部门应作为牵头单位，对扶贫资产项目涉及的建设单位、相关镇（村），开展项目资产信息数据的梳理和核对工作，确保项目信息数据全面、真实、一致，避免扶贫项目资产漏登、错登。</w:t>
      </w:r>
    </w:p>
    <w:p>
      <w:pPr>
        <w:pStyle w:val="4"/>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560" w:firstLineChars="200"/>
        <w:jc w:val="both"/>
        <w:textAlignment w:val="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2.进行可行性论证，保证项目取得实际效益</w:t>
      </w:r>
    </w:p>
    <w:p>
      <w:pPr>
        <w:pStyle w:val="4"/>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相关部门在经营性项目立项时应进行充分的可行性研究，结合项目实际情况进行立项和投资，避免扶贫资产项目“建而不用、用而不成、成而不好”的情况发生。</w:t>
      </w:r>
    </w:p>
    <w:p>
      <w:pPr>
        <w:pStyle w:val="4"/>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560" w:firstLineChars="200"/>
        <w:jc w:val="both"/>
        <w:textAlignment w:val="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3.完善制度建设，建立长效管护机制</w:t>
      </w:r>
    </w:p>
    <w:p>
      <w:pPr>
        <w:pStyle w:val="4"/>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扶贫资产相关行业主管部门应出台扶贫资产的管理制度，指导两镇及各村委对不同类型的资产进行管护，协议内容应对具体管护责任及管护措施进行针对性细化，确保扶贫资产管护执行到位。</w:t>
      </w:r>
    </w:p>
    <w:p>
      <w:pPr>
        <w:pStyle w:val="4"/>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560" w:firstLineChars="200"/>
        <w:jc w:val="both"/>
        <w:textAlignment w:val="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4.完善公示信息，保证公开透明</w:t>
      </w:r>
    </w:p>
    <w:p>
      <w:pPr>
        <w:pStyle w:val="4"/>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各项目建设单位对于已经完结的项目，在项目金额公示方面，既要明确金额来源构成，还要明确支付的构成。</w:t>
      </w:r>
    </w:p>
    <w:p>
      <w:pPr>
        <w:pStyle w:val="4"/>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560" w:firstLineChars="200"/>
        <w:jc w:val="both"/>
        <w:textAlignment w:val="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5.做好资产的移交，明确权责</w:t>
      </w:r>
    </w:p>
    <w:p>
      <w:pPr>
        <w:pStyle w:val="4"/>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各村委应管护好资产确权移交协议书及确权清单以及相关项目材料，保障村委对扶贫项目资产的管护权益和明确管护责任。建议两镇完整备份辖区各村项目相关资料，保证项目材料不缺漏、不丢失。</w:t>
      </w:r>
    </w:p>
    <w:p>
      <w:pPr>
        <w:pStyle w:val="4"/>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560" w:firstLineChars="200"/>
        <w:jc w:val="both"/>
        <w:textAlignment w:val="auto"/>
        <w:rPr>
          <w:rFonts w:hint="default"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6.做好管护，切实发挥资产实效</w:t>
      </w:r>
    </w:p>
    <w:p>
      <w:pPr>
        <w:pStyle w:val="4"/>
        <w:keepNext w:val="0"/>
        <w:keepLines w:val="0"/>
        <w:pageBreakBefore w:val="0"/>
        <w:widowControl w:val="0"/>
        <w:numPr>
          <w:ilvl w:val="0"/>
          <w:numId w:val="0"/>
        </w:numPr>
        <w:kinsoku/>
        <w:wordWrap/>
        <w:overflowPunct/>
        <w:topLinePunct w:val="0"/>
        <w:autoSpaceDE/>
        <w:autoSpaceDN/>
        <w:bidi w:val="0"/>
        <w:adjustRightInd/>
        <w:spacing w:before="0" w:after="0" w:line="560" w:lineRule="exact"/>
        <w:ind w:left="0" w:leftChars="0" w:firstLine="560" w:firstLineChars="200"/>
        <w:jc w:val="both"/>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各村委应积极履行扶贫资产项目的管护责任，保障扶贫资产切实发挥实效，达到联农带农、增加农户收入等效果。</w:t>
      </w:r>
    </w:p>
    <w:p>
      <w:pPr>
        <w:keepNext w:val="0"/>
        <w:keepLines w:val="0"/>
        <w:pageBreakBefore w:val="0"/>
        <w:widowControl w:val="0"/>
        <w:numPr>
          <w:ilvl w:val="0"/>
          <w:numId w:val="0"/>
        </w:numPr>
        <w:kinsoku/>
        <w:wordWrap/>
        <w:overflowPunct/>
        <w:topLinePunct w:val="0"/>
        <w:autoSpaceDE/>
        <w:autoSpaceDN/>
        <w:bidi w:val="0"/>
        <w:adjustRightInd/>
        <w:spacing w:line="560" w:lineRule="exact"/>
        <w:ind w:left="524" w:leftChars="0"/>
        <w:textAlignment w:val="auto"/>
        <w:rPr>
          <w:rFonts w:hint="eastAsia" w:ascii="黑体" w:hAnsi="黑体" w:eastAsia="黑体" w:cs="黑体"/>
          <w:b w:val="0"/>
          <w:bCs w:val="0"/>
          <w:kern w:val="2"/>
          <w:sz w:val="28"/>
          <w:szCs w:val="28"/>
          <w:lang w:val="en-US" w:eastAsia="zh-CN" w:bidi="ar-SA"/>
        </w:rPr>
      </w:pPr>
      <w:bookmarkStart w:id="25" w:name="_Toc657511891_WPSOffice_Level1"/>
      <w:r>
        <w:rPr>
          <w:rFonts w:hint="eastAsia" w:ascii="黑体" w:hAnsi="黑体" w:eastAsia="黑体" w:cs="黑体"/>
          <w:b w:val="0"/>
          <w:bCs w:val="0"/>
          <w:kern w:val="2"/>
          <w:sz w:val="28"/>
          <w:szCs w:val="28"/>
          <w:lang w:val="en-US" w:eastAsia="zh-CN" w:bidi="ar-SA"/>
        </w:rPr>
        <w:t>七、加强扶贫资产后续管理及运用计算机技术提升审计成效的建议</w:t>
      </w:r>
      <w:bookmarkEnd w:id="25"/>
    </w:p>
    <w:p>
      <w:pPr>
        <w:pStyle w:val="3"/>
        <w:keepNext w:val="0"/>
        <w:keepLines w:val="0"/>
        <w:pageBreakBefore w:val="0"/>
        <w:widowControl w:val="0"/>
        <w:numPr>
          <w:ilvl w:val="0"/>
          <w:numId w:val="0"/>
        </w:numPr>
        <w:kinsoku/>
        <w:wordWrap/>
        <w:overflowPunct/>
        <w:topLinePunct w:val="0"/>
        <w:autoSpaceDE/>
        <w:autoSpaceDN/>
        <w:bidi w:val="0"/>
        <w:adjustRightInd/>
        <w:spacing w:line="560" w:lineRule="exact"/>
        <w:ind w:left="524" w:leftChars="0"/>
        <w:textAlignment w:val="auto"/>
        <w:rPr>
          <w:rFonts w:hint="eastAsia" w:ascii="楷体" w:hAnsi="楷体" w:eastAsia="楷体" w:cs="楷体"/>
          <w:b w:val="0"/>
          <w:bCs w:val="0"/>
          <w:kern w:val="2"/>
          <w:sz w:val="28"/>
          <w:szCs w:val="28"/>
          <w:lang w:val="en-US" w:eastAsia="zh-CN" w:bidi="ar-SA"/>
        </w:rPr>
      </w:pPr>
      <w:r>
        <w:rPr>
          <w:rFonts w:hint="eastAsia" w:ascii="楷体" w:hAnsi="楷体" w:eastAsia="楷体" w:cs="楷体"/>
          <w:b w:val="0"/>
          <w:bCs w:val="0"/>
          <w:kern w:val="2"/>
          <w:sz w:val="28"/>
          <w:szCs w:val="28"/>
          <w:lang w:val="en-US" w:eastAsia="zh-CN" w:bidi="ar-SA"/>
        </w:rPr>
        <w:t>（一）</w:t>
      </w:r>
      <w:bookmarkStart w:id="26" w:name="OLE_LINK9"/>
      <w:r>
        <w:rPr>
          <w:rFonts w:hint="eastAsia" w:ascii="楷体" w:hAnsi="楷体" w:eastAsia="楷体" w:cs="楷体"/>
          <w:b w:val="0"/>
          <w:bCs w:val="0"/>
          <w:kern w:val="2"/>
          <w:sz w:val="28"/>
          <w:szCs w:val="28"/>
          <w:lang w:val="en-US" w:eastAsia="zh-CN" w:bidi="ar-SA"/>
        </w:rPr>
        <w:t>加强扶贫项目资产后续管理</w:t>
      </w:r>
      <w:bookmarkEnd w:id="26"/>
      <w:r>
        <w:rPr>
          <w:rFonts w:hint="eastAsia" w:ascii="楷体" w:hAnsi="楷体" w:eastAsia="楷体" w:cs="楷体"/>
          <w:b w:val="0"/>
          <w:bCs w:val="0"/>
          <w:kern w:val="2"/>
          <w:sz w:val="28"/>
          <w:szCs w:val="28"/>
          <w:lang w:val="en-US" w:eastAsia="zh-CN" w:bidi="ar-SA"/>
        </w:rPr>
        <w:t>的审计建议</w:t>
      </w:r>
    </w:p>
    <w:p>
      <w:pPr>
        <w:pStyle w:val="2"/>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1.全面摸清家底，完善资产信息</w:t>
      </w:r>
    </w:p>
    <w:p>
      <w:pPr>
        <w:pStyle w:val="2"/>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各地区要通过自下而上的方式，对财政资金、政府债券资金、社会捐赠和对口帮扶等形成的资产进行全面清查，界定资产范围、类型，明确资金来源，厘清产权归属，确保不遗漏任何一项扶贫资产。同时，建立健全资产管理台账，分类、分项、分年度登记资产明细，明确资产的权属和使用情况，确保各级各类扶贫项目投入形成的资产产权清晰、责任明确，保证资产信息的透明可查。</w:t>
      </w:r>
    </w:p>
    <w:p>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2.分类管理，精准施策</w:t>
      </w:r>
    </w:p>
    <w:p>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对于不同类型的扶贫资产，探索实施分类管理机制和区别化的管理方法，以保证扶贫资产的有效运行和持续效益，例如，对于经营性资产要纳入农村集体资产管理范围；对于公益性资产，要明确后续管理单位及责任人，强化日常管护，确保后续管理机制发挥作用。</w:t>
      </w:r>
    </w:p>
    <w:p>
      <w:pPr>
        <w:pStyle w:val="2"/>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w:t>
      </w:r>
      <w:bookmarkStart w:id="27" w:name="OLE_LINK7"/>
      <w:r>
        <w:rPr>
          <w:rFonts w:hint="eastAsia" w:ascii="仿宋" w:hAnsi="仿宋" w:eastAsia="仿宋" w:cs="仿宋"/>
          <w:b w:val="0"/>
          <w:bCs w:val="0"/>
          <w:kern w:val="2"/>
          <w:sz w:val="28"/>
          <w:szCs w:val="28"/>
          <w:lang w:val="en-US" w:eastAsia="zh-CN" w:bidi="ar-SA"/>
        </w:rPr>
        <w:t>探索多元化资产运营模式</w:t>
      </w:r>
      <w:bookmarkEnd w:id="27"/>
      <w:r>
        <w:rPr>
          <w:rFonts w:hint="eastAsia" w:ascii="仿宋" w:hAnsi="仿宋" w:eastAsia="仿宋" w:cs="仿宋"/>
          <w:b w:val="0"/>
          <w:bCs w:val="0"/>
          <w:kern w:val="2"/>
          <w:sz w:val="28"/>
          <w:szCs w:val="28"/>
          <w:lang w:val="en-US" w:eastAsia="zh-CN" w:bidi="ar-SA"/>
        </w:rPr>
        <w:t>，确保资产保值增值</w:t>
      </w:r>
    </w:p>
    <w:p>
      <w:pPr>
        <w:pStyle w:val="2"/>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在扶贫项目资产管理中，根据不同资产的性质和所处环境，采取多种经营方式和管理机制，可以更好地确保扶贫资产的效益，为脱贫人口和村集体带来持续的收入来源，进而支撑乡村振兴和防止规模性返贫的发生。如积极对接相关经营主体,通过股份合作、业务托管、合作经营及改制重组等方式,探索多元化扶贫项目资产运营模式，确保扶贫资产安全运行、保值增值。</w:t>
      </w:r>
    </w:p>
    <w:p>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4.明确资产收益分配，促进乡村振兴</w:t>
      </w:r>
    </w:p>
    <w:p>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要遵循公平合理、公开透明、持续发展、绩效导向、风险控制的原则，同时结合具体扶贫项目的性质、目标以及当地的实际情况来研究制定扶贫资产收益分配使用方案,例如，对于产业扶贫项目，收益分配可能会倾向于支持贫困人口参与的项目，以及那些能够提供长期稳定就业和收入的项目。对于教育、健康等公共服务类扶贫资产，收益分配可能会更多考虑提升公共服务的质量和覆盖面。</w:t>
      </w:r>
    </w:p>
    <w:p>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5.加强后续管理维护，确保资产长期稳定发挥效益</w:t>
      </w:r>
    </w:p>
    <w:p>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加强扶贫资产后续管理维护是</w:t>
      </w:r>
      <w:bookmarkStart w:id="28" w:name="OLE_LINK12"/>
      <w:r>
        <w:rPr>
          <w:rFonts w:hint="eastAsia" w:ascii="仿宋" w:hAnsi="仿宋" w:eastAsia="仿宋" w:cs="仿宋"/>
          <w:b w:val="0"/>
          <w:bCs w:val="0"/>
          <w:kern w:val="2"/>
          <w:sz w:val="28"/>
          <w:szCs w:val="28"/>
          <w:lang w:val="en-US" w:eastAsia="zh-CN" w:bidi="ar-SA"/>
        </w:rPr>
        <w:t>确保扶贫资产长期稳定发挥效益</w:t>
      </w:r>
      <w:bookmarkEnd w:id="28"/>
      <w:r>
        <w:rPr>
          <w:rFonts w:hint="eastAsia" w:ascii="仿宋" w:hAnsi="仿宋" w:eastAsia="仿宋" w:cs="仿宋"/>
          <w:b w:val="0"/>
          <w:bCs w:val="0"/>
          <w:kern w:val="2"/>
          <w:sz w:val="28"/>
          <w:szCs w:val="28"/>
          <w:lang w:val="en-US" w:eastAsia="zh-CN" w:bidi="ar-SA"/>
        </w:rPr>
        <w:t>、支持脱贫攻坚成果的可持续性和乡村振兴的关键环节，各地区要根据“谁受益、谁负责”的原则，明确扶贫资产的产权归属和管护责任，建立定期巡查和巡护机制，确保各类扶贫资产正常运转；对于损坏或丢失的资产，要及时进行补充和修复，保障资产的完整性和使用效率；同时可根据不同类型的扶贫资产，探索和实施合适的管护模式。</w:t>
      </w:r>
    </w:p>
    <w:p>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6.加大监督检查力度，确保政策落地生根</w:t>
      </w:r>
    </w:p>
    <w:p>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b w:val="0"/>
          <w:bCs w:val="0"/>
          <w:kern w:val="2"/>
          <w:sz w:val="28"/>
          <w:szCs w:val="28"/>
          <w:lang w:val="en-US" w:eastAsia="zh-CN" w:bidi="ar-SA"/>
        </w:rPr>
        <w:t>通过资料审查、实地考察、访谈了解、问题排查、整改跟踪等方式定期对扶贫项目资产后续管理情况进行检查，通过检查、发现和总结扶贫资产管理中的规律性问题和风险点，不断完善和优化管理制度，建立起长效管理机制，确保扶贫资产在巩固拓展脱贫攻坚成果、同乡村振兴有效衔接中持续发挥效益，为全面实现乡村振兴提供坚实保障。</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（二）</w:t>
      </w:r>
      <w:bookmarkStart w:id="29" w:name="OLE_LINK10"/>
      <w:r>
        <w:rPr>
          <w:rFonts w:hint="eastAsia" w:ascii="楷体" w:hAnsi="楷体" w:eastAsia="楷体" w:cs="楷体"/>
          <w:b w:val="0"/>
          <w:bCs w:val="0"/>
          <w:sz w:val="28"/>
          <w:szCs w:val="28"/>
          <w:lang w:val="en-US" w:eastAsia="zh-CN"/>
        </w:rPr>
        <w:t>运用计算机技术提升审计成效</w:t>
      </w:r>
      <w:bookmarkEnd w:id="29"/>
      <w:r>
        <w:rPr>
          <w:rFonts w:hint="eastAsia" w:ascii="楷体" w:hAnsi="楷体" w:eastAsia="楷体" w:cs="楷体"/>
          <w:b w:val="0"/>
          <w:bCs w:val="0"/>
          <w:sz w:val="28"/>
          <w:szCs w:val="28"/>
          <w:lang w:val="en-US" w:eastAsia="zh-CN"/>
        </w:rPr>
        <w:t>的建议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1.加强技能培训，提升专业技能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在审计工作逐渐向信息化、智能化发展的背景下，各审计机关要切实认识到计算机信息技术在审计工作中的应用将越来越广泛，这就要求审计人员必须掌握一定的计算机应用技能，比如数据分析、软件应用、人工智能技术等，以适应数字化审计的需求；各审计机关要针对不同水平的审计人员，提供从基础到高级的计算机应用技能培训，包括电子数据审计、数据分析软件应用、计算机辅助审计技术等方面的培训，切实提升审计人员水平；同时鼓励审计人员获取专业计算机技能认证，比如微软认证专家、CISA（注册信息系统审计师）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2.引入先进的审计软件和工具，提升审计质量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提高审计部门的信息化水平，配备先进的计算机设备和技术支持，为审计工作提供有力保障。同时要利用现代信息技术，开发和引入更为先进的审计软件和工具，如大数据分析、云审计等，应用于数据分析、风险评估、自动测试等环节，帮助审计人员提高工作效率，提升审计质量。</w:t>
      </w:r>
    </w:p>
    <w:p>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left="560" w:left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3.建立数据共享平台，提升审计效率</w:t>
      </w:r>
    </w:p>
    <w:p>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建立审计部门与被审计单位之间的数据共享，建立安全的数据交换和共享平台，便于审计人员获取和分析数据，减少重复工作，提高审计效率。同时可建立跨部门的合作机制，让审计人员与信息技术部门或其他技术专家合作，共同解决计算机技能相关问题，提高审计人员的技术能力。</w:t>
      </w:r>
    </w:p>
    <w:p>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left="280" w:leftChars="0" w:firstLine="280" w:firstLineChars="1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4.注重审计结果的可视化，提升审计成效</w:t>
      </w:r>
    </w:p>
    <w:p>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审计结果的可视化是将审计数据和发现以图形或图像的形式展示出来。通过图表和图像，复杂的审计数据可以被简化展示，这有助于审计人员、管理层甚至非专业人员快速把握数据的核心内容和关键信息；有助于明确问题的分布和严重性，使得问题更容易被识别和定位，进而促进针对性的整改措施的实施。</w:t>
      </w:r>
    </w:p>
    <w:p>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5.建立信息化审计制度，提升审计工作规范化</w:t>
      </w:r>
    </w:p>
    <w:p>
      <w:pPr>
        <w:pStyle w:val="2"/>
        <w:keepNext w:val="0"/>
        <w:keepLines w:val="0"/>
        <w:pageBreakBefore w:val="0"/>
        <w:widowControl w:val="0"/>
        <w:numPr>
          <w:ilvl w:val="0"/>
          <w:numId w:val="0"/>
        </w:numPr>
        <w:kinsoku/>
        <w:wordWrap/>
        <w:overflowPunct/>
        <w:topLinePunct w:val="0"/>
        <w:autoSpaceDE/>
        <w:autoSpaceDN/>
        <w:bidi w:val="0"/>
        <w:adjustRightInd/>
        <w:spacing w:line="56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制定针对计算机审计的规章制度，明确审计人员在计算机审计过程中的职责、权限和责任，建立科学的审计流程和方法，确保审计工作的规范化和制度化，从而提高审计成效。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6.加强安全意识培训，保护审计数据安全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sz w:val="28"/>
          <w:szCs w:val="28"/>
          <w:lang w:val="en-US" w:eastAsia="zh-CN"/>
        </w:rPr>
        <w:t>加强审计人员的安全意识培训，对审计数据进行加密处理，确保数据在存储和传输过程中不被未授权访问，建立严格的访问控制机制，确保只有授权用户才能访问审计数据，确保数据安全和隐私不被泄露。</w:t>
      </w:r>
    </w:p>
    <w:p>
      <w:pPr>
        <w:keepNext w:val="0"/>
        <w:keepLines w:val="0"/>
        <w:pageBreakBefore w:val="0"/>
        <w:widowControl w:val="0"/>
        <w:numPr>
          <w:ilvl w:val="0"/>
          <w:numId w:val="0"/>
        </w:numPr>
        <w:kinsoku/>
        <w:wordWrap/>
        <w:overflowPunct/>
        <w:topLinePunct w:val="0"/>
        <w:autoSpaceDE/>
        <w:autoSpaceDN/>
        <w:bidi w:val="0"/>
        <w:adjustRightInd/>
        <w:spacing w:line="560" w:lineRule="exact"/>
        <w:ind w:left="420" w:leftChars="0"/>
        <w:textAlignment w:val="auto"/>
        <w:rPr>
          <w:rFonts w:hint="eastAsia"/>
          <w:sz w:val="28"/>
          <w:szCs w:val="28"/>
          <w:lang w:val="en-US" w:eastAsia="zh-CN"/>
        </w:rPr>
      </w:pPr>
      <w:bookmarkStart w:id="30" w:name="_Toc1234204293_WPSOffice_Level1"/>
      <w:r>
        <w:rPr>
          <w:rFonts w:hint="eastAsia" w:ascii="黑体" w:hAnsi="黑体" w:eastAsia="黑体" w:cs="黑体"/>
          <w:sz w:val="28"/>
          <w:szCs w:val="28"/>
          <w:lang w:val="en-US" w:eastAsia="zh-CN"/>
        </w:rPr>
        <w:t>八、不足与展望</w:t>
      </w:r>
      <w:bookmarkEnd w:id="30"/>
    </w:p>
    <w:p>
      <w:pPr>
        <w:pStyle w:val="3"/>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随着计算机信息技术的日愈发展，审计工作中将越来越多地使用先进的数据处理技术（如人工智能），以提高数据分析的深度和广度，揭示潜在风险和问题，提升审计质量。本文以L市扶贫项目资产管理审计中计算机技术的应用实例为切入点，阐述审计成效、</w:t>
      </w:r>
      <w:r>
        <w:rPr>
          <w:rFonts w:hint="eastAsia" w:ascii="仿宋" w:hAnsi="仿宋" w:eastAsia="仿宋" w:cs="仿宋"/>
          <w:b w:val="0"/>
          <w:kern w:val="2"/>
          <w:sz w:val="28"/>
          <w:szCs w:val="28"/>
          <w:lang w:val="en-US" w:eastAsia="zh-CN" w:bidi="ar-SA"/>
        </w:rPr>
        <w:t>揭示</w:t>
      </w:r>
      <w:r>
        <w:rPr>
          <w:rFonts w:hint="eastAsia" w:ascii="仿宋" w:hAnsi="仿宋" w:eastAsia="仿宋" w:cs="仿宋"/>
          <w:sz w:val="28"/>
          <w:szCs w:val="28"/>
          <w:lang w:val="en-US" w:eastAsia="zh-CN"/>
        </w:rPr>
        <w:t>扶贫资产管理中</w:t>
      </w:r>
      <w:r>
        <w:rPr>
          <w:rFonts w:hint="eastAsia" w:ascii="仿宋" w:hAnsi="仿宋" w:eastAsia="仿宋" w:cs="仿宋"/>
          <w:b w:val="0"/>
          <w:kern w:val="2"/>
          <w:sz w:val="28"/>
          <w:szCs w:val="28"/>
          <w:lang w:val="en-US" w:eastAsia="zh-CN" w:bidi="ar-SA"/>
        </w:rPr>
        <w:t>存在的问题，并</w:t>
      </w:r>
      <w:r>
        <w:rPr>
          <w:rFonts w:hint="eastAsia" w:ascii="仿宋" w:hAnsi="仿宋" w:eastAsia="仿宋" w:cs="仿宋"/>
          <w:sz w:val="28"/>
          <w:szCs w:val="28"/>
          <w:lang w:val="en-US" w:eastAsia="zh-CN"/>
        </w:rPr>
        <w:t>由点及面，对如何加强扶贫项目资产后续管理、如何提升计算机技术审计成效提出了建议，具有一定的可操作性和实用性，</w:t>
      </w:r>
      <w:r>
        <w:rPr>
          <w:rFonts w:hint="eastAsia" w:ascii="仿宋" w:hAnsi="仿宋" w:eastAsia="仿宋" w:cs="仿宋"/>
          <w:b w:val="0"/>
          <w:kern w:val="2"/>
          <w:sz w:val="28"/>
          <w:szCs w:val="28"/>
          <w:lang w:val="en-US" w:eastAsia="zh-CN" w:bidi="ar-SA"/>
        </w:rPr>
        <w:t>为我国扶贫事业的健康发展提供有效借鉴</w:t>
      </w:r>
      <w:r>
        <w:rPr>
          <w:rFonts w:hint="eastAsia" w:ascii="仿宋" w:hAnsi="仿宋" w:eastAsia="仿宋" w:cs="仿宋"/>
          <w:sz w:val="28"/>
          <w:szCs w:val="28"/>
          <w:lang w:val="en-US" w:eastAsia="zh-CN"/>
        </w:rPr>
        <w:t>。但是虽然大数据和人工智能技术在审计领域得到一定应用，但在扶贫项目资产管理审计中，如何高效管理海量数据，以及如何通过数据分析揭示潜在风险和问题，仍然是一个挑战。而当下既懂审计业务又熟悉计算机技术的复合型人才得短缺，也限制了计算机技术在审计中的深入应用，这些问题都需要后续学者进行更深入的研究。</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560" w:lineRule="exact"/>
        <w:jc w:val="left"/>
        <w:textAlignment w:val="auto"/>
        <w:rPr>
          <w:rFonts w:hint="default" w:ascii="仿宋" w:hAnsi="仿宋" w:eastAsia="仿宋" w:cs="仿宋"/>
          <w:sz w:val="32"/>
          <w:szCs w:val="32"/>
          <w:lang w:val="en-US" w:eastAsia="zh-CN"/>
        </w:rPr>
      </w:pPr>
      <w:r>
        <w:rPr>
          <w:rFonts w:hint="eastAsia"/>
          <w:lang w:val="en-US" w:eastAsia="zh-CN"/>
        </w:rPr>
        <w:t xml:space="preserve"> </w:t>
      </w:r>
      <w:r>
        <w:rPr>
          <w:rFonts w:hint="eastAsia" w:ascii="仿宋" w:hAnsi="仿宋" w:eastAsia="仿宋" w:cs="仿宋"/>
          <w:kern w:val="2"/>
          <w:sz w:val="28"/>
          <w:szCs w:val="28"/>
          <w:lang w:val="en-US" w:eastAsia="zh-CN" w:bidi="ar-SA"/>
        </w:rPr>
        <w:t xml:space="preserve">   总体来说，计算机技术在扶贫项目资产管理审计中的应用研究将不断深入，为提升审计质量和效率提供更多支持和帮助。</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sz w:val="24"/>
          <w:szCs w:val="24"/>
          <w:lang w:val="en-US" w:eastAsia="zh-CN"/>
        </w:rPr>
      </w:pPr>
      <w:r>
        <w:rPr>
          <w:rFonts w:hint="eastAsia" w:ascii="宋体" w:hAnsi="宋体" w:eastAsia="宋体" w:cs="宋体"/>
          <w:b w:val="0"/>
          <w:bCs w:val="0"/>
          <w:sz w:val="24"/>
          <w:szCs w:val="24"/>
          <w:lang w:val="en-US" w:eastAsia="zh-CN"/>
        </w:rPr>
        <w:t>【参考文献】：</w:t>
      </w:r>
    </w:p>
    <w:p>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[1]Parker L, Jacobs K, Schmitz J. New Public Management and the Rise of Public SectorPerformance Audit: Evidence from the Australian Case [J]. Accounting, Auditing &amp;Accountability Journal, 2019, (1): 280-306.</w:t>
      </w:r>
    </w:p>
    <w:p>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[2]Ikhlasiani T. Tonggil,Irawati Igirisa,Arifin Tahir. Implementation of the Policy ofPoverty Alleviation Acceleration Program in Bokat District, Buol Regency, Central SulawesiProvince, Indonesia[J]. International Journal of Arts and Humanities Studies,2021,1(1).</w:t>
      </w:r>
    </w:p>
    <w:p>
      <w:pPr>
        <w:pStyle w:val="7"/>
        <w:keepNext w:val="0"/>
        <w:keepLines w:val="0"/>
        <w:pageBreakBefore w:val="0"/>
        <w:widowControl w:val="0"/>
        <w:kinsoku/>
        <w:wordWrap/>
        <w:overflowPunct/>
        <w:topLinePunct w:val="0"/>
        <w:autoSpaceDE/>
        <w:autoSpaceDN/>
        <w:bidi w:val="0"/>
        <w:adjustRightInd/>
        <w:spacing w:line="560" w:lineRule="exact"/>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[3]郭旭．总结扶贫审计创新经验助力乡村振兴研讨会综述[J]．审计研究，2021，（4）:31-34+42．</w:t>
      </w:r>
    </w:p>
    <w:p>
      <w:pPr>
        <w:pStyle w:val="8"/>
        <w:keepNext w:val="0"/>
        <w:keepLines w:val="0"/>
        <w:pageBreakBefore w:val="0"/>
        <w:widowControl w:val="0"/>
        <w:kinsoku/>
        <w:wordWrap/>
        <w:overflowPunct/>
        <w:topLinePunct w:val="0"/>
        <w:autoSpaceDE/>
        <w:autoSpaceDN/>
        <w:bidi w:val="0"/>
        <w:adjustRightInd/>
        <w:spacing w:line="560" w:lineRule="exac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[4]冯丹萌,谭智心.乡村振兴背景下扶贫资产的后续管护研究[J].中国国情国力,2023,(4):42-45.</w:t>
      </w:r>
    </w:p>
    <w:p>
      <w:pPr>
        <w:pStyle w:val="4"/>
        <w:keepNext w:val="0"/>
        <w:keepLines w:val="0"/>
        <w:pageBreakBefore w:val="0"/>
        <w:widowControl w:val="0"/>
        <w:kinsoku/>
        <w:wordWrap/>
        <w:overflowPunct/>
        <w:topLinePunct w:val="0"/>
        <w:autoSpaceDE/>
        <w:autoSpaceDN/>
        <w:bidi w:val="0"/>
        <w:adjustRightInd/>
        <w:spacing w:before="0" w:after="0" w:line="560" w:lineRule="exact"/>
        <w:ind w:firstLine="480" w:firstLineChars="200"/>
        <w:jc w:val="both"/>
        <w:textAlignment w:val="auto"/>
        <w:rPr>
          <w:rFonts w:hint="eastAsia"/>
          <w:lang w:val="en-US" w:eastAsia="zh-CN"/>
        </w:rPr>
      </w:pPr>
      <w:r>
        <w:rPr>
          <w:rFonts w:hint="eastAsia" w:ascii="宋体" w:hAnsi="宋体" w:eastAsia="宋体" w:cs="宋体"/>
          <w:b w:val="0"/>
          <w:bCs w:val="0"/>
          <w:kern w:val="2"/>
          <w:sz w:val="24"/>
          <w:szCs w:val="24"/>
          <w:lang w:val="en-US" w:eastAsia="zh-CN" w:bidi="ar-SA"/>
        </w:rPr>
        <w:t>[</w:t>
      </w:r>
      <w:r>
        <w:rPr>
          <w:rFonts w:hint="eastAsia" w:ascii="宋体" w:hAnsi="宋体" w:cs="宋体"/>
          <w:b w:val="0"/>
          <w:bCs w:val="0"/>
          <w:kern w:val="2"/>
          <w:sz w:val="24"/>
          <w:szCs w:val="24"/>
          <w:lang w:val="en-US" w:eastAsia="zh-CN" w:bidi="ar-SA"/>
        </w:rPr>
        <w:t>5</w:t>
      </w:r>
      <w:r>
        <w:rPr>
          <w:rFonts w:hint="eastAsia" w:ascii="宋体" w:hAnsi="宋体" w:eastAsia="宋体" w:cs="宋体"/>
          <w:b w:val="0"/>
          <w:bCs w:val="0"/>
          <w:kern w:val="2"/>
          <w:sz w:val="24"/>
          <w:szCs w:val="24"/>
          <w:lang w:val="en-US" w:eastAsia="zh-CN" w:bidi="ar-SA"/>
        </w:rPr>
        <w:t>] 王伟,李建鲁.精准扶贫视角下的财政资金绩效审计[J].黑龙江工业学院学报(综合版).2022(4):104-107.</w:t>
      </w:r>
    </w:p>
    <w:p>
      <w:pPr>
        <w:pStyle w:val="8"/>
        <w:keepNext w:val="0"/>
        <w:keepLines w:val="0"/>
        <w:pageBreakBefore w:val="0"/>
        <w:widowControl w:val="0"/>
        <w:kinsoku/>
        <w:wordWrap/>
        <w:overflowPunct/>
        <w:topLinePunct w:val="0"/>
        <w:autoSpaceDE/>
        <w:autoSpaceDN/>
        <w:bidi w:val="0"/>
        <w:adjustRightInd/>
        <w:spacing w:line="560" w:lineRule="exac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[6]刘欣园;张宏翔,财政扶贫专项资金审计工作的探讨[J]．财政监督,2021,(4):71-74.</w:t>
      </w:r>
    </w:p>
    <w:p>
      <w:pPr>
        <w:pStyle w:val="7"/>
        <w:keepNext w:val="0"/>
        <w:keepLines w:val="0"/>
        <w:pageBreakBefore w:val="0"/>
        <w:widowControl w:val="0"/>
        <w:kinsoku/>
        <w:wordWrap/>
        <w:overflowPunct/>
        <w:topLinePunct w:val="0"/>
        <w:autoSpaceDE/>
        <w:autoSpaceDN/>
        <w:bidi w:val="0"/>
        <w:adjustRightInd/>
        <w:spacing w:line="560" w:lineRule="exact"/>
        <w:ind w:firstLine="444"/>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[7]张瑜东. 试论国家审计在助推乡村振兴中的作用[J].广东技术师范大学学报,2021,42(06):49-53.</w:t>
      </w:r>
    </w:p>
    <w:p>
      <w:pPr>
        <w:pStyle w:val="3"/>
        <w:keepNext w:val="0"/>
        <w:keepLines w:val="0"/>
        <w:pageBreakBefore w:val="0"/>
        <w:widowControl w:val="0"/>
        <w:kinsoku/>
        <w:wordWrap/>
        <w:overflowPunct/>
        <w:topLinePunct w:val="0"/>
        <w:autoSpaceDE/>
        <w:autoSpaceDN/>
        <w:bidi w:val="0"/>
        <w:adjustRightInd/>
        <w:spacing w:line="560" w:lineRule="exact"/>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[8]黄良杰,崔海红.论财政专项资金绩效审计[J].财会月刊.2021(6):122-126.</w:t>
      </w:r>
    </w:p>
    <w:p>
      <w:pPr>
        <w:pStyle w:val="3"/>
        <w:keepNext w:val="0"/>
        <w:keepLines w:val="0"/>
        <w:pageBreakBefore w:val="0"/>
        <w:widowControl w:val="0"/>
        <w:kinsoku/>
        <w:wordWrap/>
        <w:overflowPunct/>
        <w:topLinePunct w:val="0"/>
        <w:autoSpaceDE/>
        <w:autoSpaceDN/>
        <w:bidi w:val="0"/>
        <w:adjustRightInd/>
        <w:snapToGrid w:val="0"/>
        <w:spacing w:line="560" w:lineRule="exact"/>
        <w:ind w:firstLine="442"/>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[9]何欣哲.加强扶贫项目资产后续管理助力乡村振兴[N].中国会计报.2021.7.9第001版.</w:t>
      </w:r>
    </w:p>
    <w:p>
      <w:pPr>
        <w:pStyle w:val="3"/>
        <w:keepNext w:val="0"/>
        <w:keepLines w:val="0"/>
        <w:pageBreakBefore w:val="0"/>
        <w:widowControl w:val="0"/>
        <w:kinsoku/>
        <w:wordWrap/>
        <w:overflowPunct/>
        <w:topLinePunct w:val="0"/>
        <w:autoSpaceDE/>
        <w:autoSpaceDN/>
        <w:bidi w:val="0"/>
        <w:adjustRightInd/>
        <w:snapToGrid w:val="0"/>
        <w:spacing w:line="560" w:lineRule="exact"/>
        <w:ind w:firstLine="442"/>
        <w:textAlignment w:val="auto"/>
        <w:rPr>
          <w:rFonts w:hint="eastAsia"/>
          <w:lang w:val="en-US" w:eastAsia="zh-CN"/>
        </w:rPr>
      </w:pPr>
      <w:r>
        <w:rPr>
          <w:rFonts w:hint="eastAsia" w:ascii="宋体" w:hAnsi="宋体" w:eastAsia="宋体" w:cs="宋体"/>
          <w:b w:val="0"/>
          <w:bCs w:val="0"/>
          <w:kern w:val="2"/>
          <w:sz w:val="24"/>
          <w:szCs w:val="24"/>
          <w:lang w:val="en-US" w:eastAsia="zh-CN" w:bidi="ar-SA"/>
        </w:rPr>
        <w:t>[10]刘翀</w:t>
      </w:r>
      <w:r>
        <w:rPr>
          <w:rFonts w:hint="eastAsia" w:ascii="宋体" w:hAnsi="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zh-CN" w:bidi="ar-SA"/>
        </w:rPr>
        <w:t>经营性扶贫资产管护长效机制构建研究——以石泉县为例[D].网络出版.西北农林科技大学.2022（5）：1-61.</w:t>
      </w:r>
    </w:p>
    <w:p>
      <w:pPr>
        <w:pStyle w:val="8"/>
        <w:keepNext w:val="0"/>
        <w:keepLines w:val="0"/>
        <w:pageBreakBefore w:val="0"/>
        <w:widowControl w:val="0"/>
        <w:kinsoku/>
        <w:wordWrap/>
        <w:overflowPunct/>
        <w:topLinePunct w:val="0"/>
        <w:autoSpaceDE/>
        <w:autoSpaceDN/>
        <w:bidi w:val="0"/>
        <w:adjustRightInd/>
        <w:spacing w:line="560" w:lineRule="exact"/>
        <w:ind w:left="0" w:leftChars="0" w:firstLine="480" w:firstLineChars="200"/>
        <w:textAlignment w:val="auto"/>
        <w:rPr>
          <w:rFonts w:hint="default" w:ascii="仿宋" w:hAnsi="仿宋" w:eastAsia="仿宋" w:cs="仿宋"/>
          <w:sz w:val="32"/>
          <w:szCs w:val="32"/>
          <w:lang w:val="en-US" w:eastAsia="zh-CN"/>
        </w:rPr>
      </w:pPr>
      <w:r>
        <w:rPr>
          <w:rFonts w:hint="eastAsia" w:ascii="宋体" w:hAnsi="宋体" w:eastAsia="宋体" w:cs="宋体"/>
          <w:b w:val="0"/>
          <w:bCs w:val="0"/>
          <w:kern w:val="2"/>
          <w:sz w:val="24"/>
          <w:szCs w:val="24"/>
          <w:lang w:val="en-US" w:eastAsia="zh-CN" w:bidi="ar-SA"/>
        </w:rPr>
        <w:t>[11]陈铁.如何加强扶贫项目资产后续管理[J]. 审计月刊.2022，（1）：44-45.</w:t>
      </w:r>
    </w:p>
    <w:p>
      <w:pPr>
        <w:pStyle w:val="7"/>
        <w:keepNext w:val="0"/>
        <w:keepLines w:val="0"/>
        <w:pageBreakBefore w:val="0"/>
        <w:widowControl w:val="0"/>
        <w:kinsoku/>
        <w:wordWrap/>
        <w:overflowPunct/>
        <w:topLinePunct w:val="0"/>
        <w:autoSpaceDE/>
        <w:autoSpaceDN/>
        <w:bidi w:val="0"/>
        <w:spacing w:line="560" w:lineRule="exact"/>
        <w:textAlignment w:val="auto"/>
        <w:rPr>
          <w:rFonts w:hint="default"/>
          <w:lang w:val="en-US" w:eastAsia="zh-CN"/>
        </w:rPr>
      </w:pP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803070505020304"/>
    <w:charset w:val="CC"/>
    <w:family w:val="roman"/>
    <w:pitch w:val="default"/>
    <w:sig w:usb0="00007A87" w:usb1="80000000" w:usb2="00000008" w:usb3="00000000" w:csb0="400001FF" w:csb1="FFFF0000"/>
  </w:font>
  <w:font w:name="宋体">
    <w:panose1 w:val="02010600030101010101"/>
    <w:charset w:val="7A"/>
    <w:family w:val="auto"/>
    <w:pitch w:val="default"/>
    <w:sig w:usb0="00000003" w:usb1="288F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ESI黑体-GB13000">
    <w:panose1 w:val="02000500000000000000"/>
    <w:charset w:val="86"/>
    <w:family w:val="auto"/>
    <w:pitch w:val="default"/>
    <w:sig w:usb0="800002BF" w:usb1="38CF7CF8"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方正仿宋_GBK">
    <w:panose1 w:val="03000509000000000000"/>
    <w:charset w:val="86"/>
    <w:family w:val="auto"/>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283/EgIAABMEAAAOAAAAZHJz&#10;L2Uyb0RvYy54bWytU8uO0zAU3SPxD5b3NGkRo6pqOiozKkKqmJEKYu06ThPJL9luk/IB8Aes2LDn&#10;u/odHDtJBwErxMa+vu977vHytlOSnITzjdEFnU5ySoTmpmz0oaAf3m9ezCnxgemSSaNFQc/C09vV&#10;82fL1i7EzNRGlsIRJNF+0dqC1iHYRZZ5XgvF/MRYoWGsjFMs4OkOWelYi+xKZrM8v8la40rrDBfe&#10;Q3vfG+kq5a8qwcNDVXkRiCwoegvpdOncxzNbLdni4JitGz60wf6hC8UajaLXVPcsMHJ0zR+pVMOd&#10;8aYKE25UZqqq4SLNgGmm+W/T7GpmRZoF4Hh7hcn/v7T83enRkabE7ijRTGFFl69fLt9+XL5/JtMI&#10;T2v9Al47C7/QvTZddB30Hso4dVc5FW/MQ2AH0OcruKILhMeg+Ww+z2HisI0P5Mmewq3z4Y0wikSh&#10;oA7bS6Cy09aH3nV0idW02TRSQs8WUpO2oDcvX+Up4GpBcqlRIw7RNxul0O27YYK9Kc8YzJmeGd7y&#10;TYPiW+bDI3OgAhoGvcMDjkoaFDGDRElt3Ke/6aM/NgQrJS2oVVAN7lMi32psLrJwFNwo7EdBH9Wd&#10;AVexDfSSRAS4IEexckZ9BOfXsQZMTHNUKmgYxbvQ0xt/hov1OjkdrWsOdR8A3lkWtnpneSwT0fN2&#10;fQwAM2EcAepRGXAD89KWhl8Sqf3rO3k9/eX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LNJWO7Q&#10;AAAABQEAAA8AAAAAAAAAAQAgAAAAOAAAAGRycy9kb3ducmV2LnhtbFBLAQIUABQAAAAIAIdO4kBK&#10;283/EgIAABMEAAAOAAAAAAAAAAEAIAAAADUBAABkcnMvZTJvRG9jLnhtbFBLBQYAAAAABgAGAFkB&#10;AAC5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11682D"/>
    <w:multiLevelType w:val="singleLevel"/>
    <w:tmpl w:val="A711682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zMjgyOTU0ZDM2YjhhNzAwOTQ1NzMyNTdlMzBmMTQifQ=="/>
  </w:docVars>
  <w:rsids>
    <w:rsidRoot w:val="00000000"/>
    <w:rsid w:val="00417EF4"/>
    <w:rsid w:val="00477E71"/>
    <w:rsid w:val="034F0B7A"/>
    <w:rsid w:val="03562963"/>
    <w:rsid w:val="03635F37"/>
    <w:rsid w:val="036F0AE2"/>
    <w:rsid w:val="04C64E6C"/>
    <w:rsid w:val="065630CE"/>
    <w:rsid w:val="074F1149"/>
    <w:rsid w:val="075D0867"/>
    <w:rsid w:val="079A7287"/>
    <w:rsid w:val="08131F69"/>
    <w:rsid w:val="09271C52"/>
    <w:rsid w:val="096B1B3E"/>
    <w:rsid w:val="0B8A7D31"/>
    <w:rsid w:val="0BA42A02"/>
    <w:rsid w:val="0BCB720C"/>
    <w:rsid w:val="0BF0521B"/>
    <w:rsid w:val="0CF348EA"/>
    <w:rsid w:val="0D4D197D"/>
    <w:rsid w:val="0D6214AA"/>
    <w:rsid w:val="0F217513"/>
    <w:rsid w:val="0F67724C"/>
    <w:rsid w:val="11692E07"/>
    <w:rsid w:val="127C682E"/>
    <w:rsid w:val="13702B73"/>
    <w:rsid w:val="14A64372"/>
    <w:rsid w:val="15203D51"/>
    <w:rsid w:val="17C63BE6"/>
    <w:rsid w:val="17F35B20"/>
    <w:rsid w:val="18AD44CE"/>
    <w:rsid w:val="19A3684F"/>
    <w:rsid w:val="1A346307"/>
    <w:rsid w:val="1A8A4074"/>
    <w:rsid w:val="1C193524"/>
    <w:rsid w:val="1C2F6F30"/>
    <w:rsid w:val="1C5306F5"/>
    <w:rsid w:val="1CF814E3"/>
    <w:rsid w:val="1CFA16FF"/>
    <w:rsid w:val="1DE859FC"/>
    <w:rsid w:val="21D82B04"/>
    <w:rsid w:val="21E94FBA"/>
    <w:rsid w:val="221B1BCE"/>
    <w:rsid w:val="228F4698"/>
    <w:rsid w:val="22DE117B"/>
    <w:rsid w:val="241D415D"/>
    <w:rsid w:val="25E82A3D"/>
    <w:rsid w:val="272A0E33"/>
    <w:rsid w:val="275A1D28"/>
    <w:rsid w:val="29A0362E"/>
    <w:rsid w:val="2A6255FD"/>
    <w:rsid w:val="2BCE3172"/>
    <w:rsid w:val="2D945258"/>
    <w:rsid w:val="32CE1B17"/>
    <w:rsid w:val="337506FB"/>
    <w:rsid w:val="33BE7E40"/>
    <w:rsid w:val="34AC2E87"/>
    <w:rsid w:val="35E6686D"/>
    <w:rsid w:val="35E9708F"/>
    <w:rsid w:val="36981915"/>
    <w:rsid w:val="36E77BB4"/>
    <w:rsid w:val="375A4E1C"/>
    <w:rsid w:val="37B00EE0"/>
    <w:rsid w:val="3B781D15"/>
    <w:rsid w:val="3B7A783B"/>
    <w:rsid w:val="3C35719F"/>
    <w:rsid w:val="3CB8696B"/>
    <w:rsid w:val="3D1141CF"/>
    <w:rsid w:val="3DB231A3"/>
    <w:rsid w:val="3F17040E"/>
    <w:rsid w:val="3F283A52"/>
    <w:rsid w:val="400006D7"/>
    <w:rsid w:val="400C164D"/>
    <w:rsid w:val="40BC6398"/>
    <w:rsid w:val="41197AF6"/>
    <w:rsid w:val="42A94EAA"/>
    <w:rsid w:val="436A02FB"/>
    <w:rsid w:val="452B1BA6"/>
    <w:rsid w:val="45FC6E9E"/>
    <w:rsid w:val="466E2692"/>
    <w:rsid w:val="47354F5E"/>
    <w:rsid w:val="48813B83"/>
    <w:rsid w:val="4BBA38F9"/>
    <w:rsid w:val="4BC311ED"/>
    <w:rsid w:val="4C4710DD"/>
    <w:rsid w:val="4D4A69DE"/>
    <w:rsid w:val="4DDC7A65"/>
    <w:rsid w:val="4E1E04FA"/>
    <w:rsid w:val="4E4168DE"/>
    <w:rsid w:val="500C27A4"/>
    <w:rsid w:val="5067714F"/>
    <w:rsid w:val="51624BA2"/>
    <w:rsid w:val="530F0D59"/>
    <w:rsid w:val="54B47A94"/>
    <w:rsid w:val="54DA0EF3"/>
    <w:rsid w:val="5840501E"/>
    <w:rsid w:val="587C0C3F"/>
    <w:rsid w:val="587F428B"/>
    <w:rsid w:val="5889335C"/>
    <w:rsid w:val="59B241EC"/>
    <w:rsid w:val="59B35603"/>
    <w:rsid w:val="59C13E17"/>
    <w:rsid w:val="5CE84FF4"/>
    <w:rsid w:val="5DEE6478"/>
    <w:rsid w:val="5FA016B7"/>
    <w:rsid w:val="5FBF7663"/>
    <w:rsid w:val="61BD5D78"/>
    <w:rsid w:val="623E51B7"/>
    <w:rsid w:val="62776625"/>
    <w:rsid w:val="632574B4"/>
    <w:rsid w:val="638438AF"/>
    <w:rsid w:val="638906B4"/>
    <w:rsid w:val="64FF16AF"/>
    <w:rsid w:val="65385EEE"/>
    <w:rsid w:val="668C4743"/>
    <w:rsid w:val="67144C75"/>
    <w:rsid w:val="68444B01"/>
    <w:rsid w:val="6B067BD7"/>
    <w:rsid w:val="6B5D1B15"/>
    <w:rsid w:val="6C89702F"/>
    <w:rsid w:val="6D734493"/>
    <w:rsid w:val="6ECF908C"/>
    <w:rsid w:val="705B05DF"/>
    <w:rsid w:val="70706E90"/>
    <w:rsid w:val="70B52AE8"/>
    <w:rsid w:val="70E30F75"/>
    <w:rsid w:val="71B82D23"/>
    <w:rsid w:val="71C36FB9"/>
    <w:rsid w:val="71D945B4"/>
    <w:rsid w:val="738877F8"/>
    <w:rsid w:val="741E6BF6"/>
    <w:rsid w:val="75774810"/>
    <w:rsid w:val="75F40E8D"/>
    <w:rsid w:val="77091498"/>
    <w:rsid w:val="77AF40F4"/>
    <w:rsid w:val="77DA3D57"/>
    <w:rsid w:val="7AB756AF"/>
    <w:rsid w:val="7AD14C2F"/>
    <w:rsid w:val="7CC1467F"/>
    <w:rsid w:val="7E08590E"/>
    <w:rsid w:val="8F5FD4A0"/>
    <w:rsid w:val="CE7DC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sz w:val="18"/>
      <w:szCs w:val="18"/>
    </w:rPr>
  </w:style>
  <w:style w:type="paragraph" w:styleId="3">
    <w:name w:val="Body Text"/>
    <w:basedOn w:val="1"/>
    <w:next w:val="4"/>
    <w:qFormat/>
    <w:uiPriority w:val="0"/>
    <w:pPr>
      <w:snapToGrid w:val="0"/>
      <w:spacing w:line="579" w:lineRule="exact"/>
    </w:pPr>
    <w:rPr>
      <w:rFonts w:eastAsia="仿宋_GB2312"/>
      <w:sz w:val="32"/>
    </w:rPr>
  </w:style>
  <w:style w:type="paragraph" w:styleId="4">
    <w:name w:val="Title"/>
    <w:basedOn w:val="1"/>
    <w:next w:val="1"/>
    <w:qFormat/>
    <w:uiPriority w:val="0"/>
    <w:pPr>
      <w:widowControl w:val="0"/>
      <w:spacing w:before="240" w:after="60"/>
      <w:jc w:val="center"/>
      <w:outlineLvl w:val="0"/>
    </w:pPr>
    <w:rPr>
      <w:rFonts w:ascii="Arial" w:hAnsi="Arial" w:eastAsia="宋体" w:cs="Times New Roman"/>
      <w:b/>
      <w:kern w:val="2"/>
      <w:sz w:val="21"/>
      <w:szCs w:val="24"/>
      <w:lang w:val="en-US" w:eastAsia="zh-CN" w:bidi="ar-SA"/>
    </w:rPr>
  </w:style>
  <w:style w:type="paragraph" w:styleId="5">
    <w:name w:val="Body Text Indent"/>
    <w:basedOn w:val="1"/>
    <w:qFormat/>
    <w:uiPriority w:val="0"/>
    <w:pPr>
      <w:ind w:firstLine="600" w:firstLineChars="200"/>
    </w:pPr>
    <w:rPr>
      <w:rFonts w:eastAsia="楷体_GB2312"/>
      <w:b/>
      <w:bCs/>
      <w:sz w:val="30"/>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footnote text"/>
    <w:basedOn w:val="1"/>
    <w:next w:val="3"/>
    <w:unhideWhenUsed/>
    <w:qFormat/>
    <w:uiPriority w:val="0"/>
    <w:pPr>
      <w:snapToGrid w:val="0"/>
      <w:jc w:val="left"/>
    </w:pPr>
    <w:rPr>
      <w:sz w:val="18"/>
      <w:szCs w:val="18"/>
    </w:rPr>
  </w:style>
  <w:style w:type="paragraph" w:styleId="8">
    <w:name w:val="Body Text First Indent 2"/>
    <w:basedOn w:val="5"/>
    <w:next w:val="1"/>
    <w:qFormat/>
    <w:uiPriority w:val="0"/>
    <w:pPr>
      <w:widowControl w:val="0"/>
      <w:ind w:firstLine="420" w:firstLineChars="200"/>
      <w:jc w:val="both"/>
    </w:pPr>
    <w:rPr>
      <w:rFonts w:ascii="Calibri" w:hAnsi="Calibri" w:eastAsia="仿宋_GB2312" w:cs="Times New Roman"/>
      <w:kern w:val="2"/>
      <w:sz w:val="30"/>
      <w:szCs w:val="22"/>
      <w:lang w:val="en-US" w:eastAsia="zh-CN" w:bidi="ar-SA"/>
    </w:rPr>
  </w:style>
  <w:style w:type="paragraph" w:customStyle="1" w:styleId="11">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glossaryDocument" Target="glossary/document.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37eba35-7e1d-4544-960e-79ba30b4ce20}"/>
        <w:style w:val=""/>
        <w:category>
          <w:name w:val="常规"/>
          <w:gallery w:val="placeholder"/>
        </w:category>
        <w:types>
          <w:type w:val="bbPlcHdr"/>
        </w:types>
        <w:behaviors>
          <w:behavior w:val="content"/>
        </w:behaviors>
        <w:description w:val=""/>
        <w:guid w:val="{137eba35-7e1d-4544-960e-79ba30b4ce20}"/>
      </w:docPartPr>
      <w:docPartBody>
        <w:p>
          <w:r>
            <w:rPr>
              <w:color w:val="808080"/>
            </w:rPr>
            <w:t>单击此处输入文字。</w:t>
          </w:r>
        </w:p>
      </w:docPartBody>
    </w:docPart>
    <w:docPart>
      <w:docPartPr>
        <w:name w:val="{c737e473-8f3e-41fb-a217-b0b130d04eb2}"/>
        <w:style w:val=""/>
        <w:category>
          <w:name w:val="常规"/>
          <w:gallery w:val="placeholder"/>
        </w:category>
        <w:types>
          <w:type w:val="bbPlcHdr"/>
        </w:types>
        <w:behaviors>
          <w:behavior w:val="content"/>
        </w:behaviors>
        <w:description w:val=""/>
        <w:guid w:val="{c737e473-8f3e-41fb-a217-b0b130d04eb2}"/>
      </w:docPartPr>
      <w:docPartBody>
        <w:p>
          <w:r>
            <w:rPr>
              <w:color w:val="808080"/>
            </w:rPr>
            <w:t>单击此处输入文字。</w:t>
          </w:r>
        </w:p>
      </w:docPartBody>
    </w:docPart>
    <w:docPart>
      <w:docPartPr>
        <w:name w:val="{d00b4ecd-c127-4c03-a3ec-615906412a57}"/>
        <w:style w:val=""/>
        <w:category>
          <w:name w:val="常规"/>
          <w:gallery w:val="placeholder"/>
        </w:category>
        <w:types>
          <w:type w:val="bbPlcHdr"/>
        </w:types>
        <w:behaviors>
          <w:behavior w:val="content"/>
        </w:behaviors>
        <w:description w:val=""/>
        <w:guid w:val="{d00b4ecd-c127-4c03-a3ec-615906412a57}"/>
      </w:docPartPr>
      <w:docPartBody>
        <w:p>
          <w:r>
            <w:rPr>
              <w:color w:val="808080"/>
            </w:rPr>
            <w:t>单击此处输入文字。</w:t>
          </w:r>
        </w:p>
      </w:docPartBody>
    </w:docPart>
    <w:docPart>
      <w:docPartPr>
        <w:name w:val="{dddfe5fa-0c9d-47c2-9cf8-8330cc7b4a0b}"/>
        <w:style w:val=""/>
        <w:category>
          <w:name w:val="常规"/>
          <w:gallery w:val="placeholder"/>
        </w:category>
        <w:types>
          <w:type w:val="bbPlcHdr"/>
        </w:types>
        <w:behaviors>
          <w:behavior w:val="content"/>
        </w:behaviors>
        <w:description w:val=""/>
        <w:guid w:val="{dddfe5fa-0c9d-47c2-9cf8-8330cc7b4a0b}"/>
      </w:docPartPr>
      <w:docPartBody>
        <w:p>
          <w:r>
            <w:rPr>
              <w:color w:val="808080"/>
            </w:rPr>
            <w:t>单击此处输入文字。</w:t>
          </w:r>
        </w:p>
      </w:docPartBody>
    </w:docPart>
    <w:docPart>
      <w:docPartPr>
        <w:name w:val="{de5e0501-b79d-46dd-99cd-94eacad910be}"/>
        <w:style w:val=""/>
        <w:category>
          <w:name w:val="常规"/>
          <w:gallery w:val="placeholder"/>
        </w:category>
        <w:types>
          <w:type w:val="bbPlcHdr"/>
        </w:types>
        <w:behaviors>
          <w:behavior w:val="content"/>
        </w:behaviors>
        <w:description w:val=""/>
        <w:guid w:val="{de5e0501-b79d-46dd-99cd-94eacad910be}"/>
      </w:docPartPr>
      <w:docPartBody>
        <w:p>
          <w:r>
            <w:rPr>
              <w:color w:val="808080"/>
            </w:rPr>
            <w:t>单击此处输入文字。</w:t>
          </w:r>
        </w:p>
      </w:docPartBody>
    </w:docPart>
    <w:docPart>
      <w:docPartPr>
        <w:name w:val="{cf189849-42ee-4df4-b3fb-47bec38eb997}"/>
        <w:style w:val=""/>
        <w:category>
          <w:name w:val="常规"/>
          <w:gallery w:val="placeholder"/>
        </w:category>
        <w:types>
          <w:type w:val="bbPlcHdr"/>
        </w:types>
        <w:behaviors>
          <w:behavior w:val="content"/>
        </w:behaviors>
        <w:description w:val=""/>
        <w:guid w:val="{cf189849-42ee-4df4-b3fb-47bec38eb997}"/>
      </w:docPartPr>
      <w:docPartBody>
        <w:p>
          <w:r>
            <w:rPr>
              <w:color w:val="808080"/>
            </w:rPr>
            <w:t>单击此处输入文字。</w:t>
          </w:r>
        </w:p>
      </w:docPartBody>
    </w:docPart>
    <w:docPart>
      <w:docPartPr>
        <w:name w:val="{7ba33135-4c6a-47f4-bd3f-f80d4d03958f}"/>
        <w:style w:val=""/>
        <w:category>
          <w:name w:val="常规"/>
          <w:gallery w:val="placeholder"/>
        </w:category>
        <w:types>
          <w:type w:val="bbPlcHdr"/>
        </w:types>
        <w:behaviors>
          <w:behavior w:val="content"/>
        </w:behaviors>
        <w:description w:val=""/>
        <w:guid w:val="{7ba33135-4c6a-47f4-bd3f-f80d4d03958f}"/>
      </w:docPartPr>
      <w:docPartBody>
        <w:p>
          <w:r>
            <w:rPr>
              <w:color w:val="808080"/>
            </w:rPr>
            <w:t>单击此处输入文字。</w:t>
          </w:r>
        </w:p>
      </w:docPartBody>
    </w:docPart>
    <w:docPart>
      <w:docPartPr>
        <w:name w:val="{13261b60-106b-4b40-a571-af060b9140a4}"/>
        <w:style w:val=""/>
        <w:category>
          <w:name w:val="常规"/>
          <w:gallery w:val="placeholder"/>
        </w:category>
        <w:types>
          <w:type w:val="bbPlcHdr"/>
        </w:types>
        <w:behaviors>
          <w:behavior w:val="content"/>
        </w:behaviors>
        <w:description w:val=""/>
        <w:guid w:val="{13261b60-106b-4b40-a571-af060b9140a4}"/>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12353</Words>
  <Characters>13456</Characters>
  <Lines>0</Lines>
  <Paragraphs>0</Paragraphs>
  <TotalTime>50</TotalTime>
  <ScaleCrop>false</ScaleCrop>
  <LinksUpToDate>false</LinksUpToDate>
  <CharactersWithSpaces>13739</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2024-09-26T21:13:00Z</dcterms:created>
  <dc:creator>Dell-PC</dc:creator>
  <cp:lastModifiedBy>huawei</cp:lastModifiedBy>
  <dcterms:modified xsi:type="dcterms:W3CDTF">2025-02-19T16:45:47Z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7317294CB6714E29A76C4E5987EEC7C4_12</vt:lpwstr>
  </property>
</Properties>
</file>