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b/>
          <w:i w:val="0"/>
          <w:caps w:val="0"/>
          <w:color w:val="525353"/>
          <w:spacing w:val="0"/>
        </w:rPr>
      </w:pPr>
      <w:r>
        <w:rPr>
          <w:rFonts w:hint="eastAsia" w:ascii="宋体" w:hAnsi="宋体" w:eastAsia="宋体" w:cs="宋体"/>
          <w:b/>
          <w:i w:val="0"/>
          <w:caps w:val="0"/>
          <w:color w:val="000000"/>
          <w:spacing w:val="0"/>
          <w:sz w:val="24"/>
          <w:szCs w:val="24"/>
          <w:bdr w:val="none" w:color="auto" w:sz="0" w:space="0"/>
          <w:shd w:val="clear" w:fill="FFFFFF"/>
        </w:rPr>
        <w:t>广西壮族自治区人民政府办公厅关于印发广西壮族自治区政务新媒体管理办法的通知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b/>
          <w:i w:val="0"/>
          <w:caps w:val="0"/>
          <w:color w:val="525353"/>
          <w:spacing w:val="0"/>
        </w:rPr>
      </w:pPr>
      <w:r>
        <w:rPr>
          <w:rFonts w:hint="eastAsia" w:ascii="宋体" w:hAnsi="宋体" w:eastAsia="宋体" w:cs="宋体"/>
          <w:b/>
          <w:i w:val="0"/>
          <w:caps w:val="0"/>
          <w:color w:val="000000"/>
          <w:spacing w:val="0"/>
          <w:sz w:val="24"/>
          <w:szCs w:val="24"/>
          <w:bdr w:val="none" w:color="auto" w:sz="0" w:space="0"/>
          <w:shd w:val="clear" w:fill="FFFFFF"/>
        </w:rPr>
        <w:t>桂政办发〔2019〕119号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b/>
          <w:i w:val="0"/>
          <w:caps w:val="0"/>
          <w:color w:val="525353"/>
          <w:spacing w:val="0"/>
        </w:rPr>
      </w:pPr>
      <w:r>
        <w:rPr>
          <w:rFonts w:ascii="宋体" w:hAnsi="宋体" w:eastAsia="宋体" w:cs="宋体"/>
          <w:b/>
          <w:i w:val="0"/>
          <w:caps w:val="0"/>
          <w:color w:val="52535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450" w:lineRule="atLeast"/>
        <w:ind w:left="0" w:right="0" w:firstLine="0"/>
        <w:rPr>
          <w:rFonts w:ascii="微软雅黑" w:hAnsi="微软雅黑" w:eastAsia="微软雅黑" w:cs="微软雅黑"/>
          <w:i w:val="0"/>
          <w:caps w:val="0"/>
          <w:color w:val="525353"/>
          <w:spacing w:val="0"/>
          <w:sz w:val="30"/>
          <w:szCs w:val="30"/>
        </w:rPr>
      </w:pPr>
      <w:r>
        <w:rPr>
          <w:rFonts w:hint="eastAsia" w:ascii="宋体" w:hAnsi="宋体" w:eastAsia="宋体" w:cs="宋体"/>
          <w:i w:val="0"/>
          <w:caps w:val="0"/>
          <w:color w:val="000000"/>
          <w:spacing w:val="0"/>
          <w:sz w:val="24"/>
          <w:szCs w:val="24"/>
          <w:bdr w:val="none" w:color="auto" w:sz="0" w:space="0"/>
          <w:shd w:val="clear" w:fill="FFFFFF"/>
        </w:rPr>
        <w:t>各市、县人民政府，自治区人民政府各组成部门、各直属机构：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450" w:lineRule="atLeast"/>
        <w:ind w:left="0" w:right="0" w:firstLine="420"/>
        <w:rPr>
          <w:rFonts w:hint="eastAsia" w:ascii="微软雅黑" w:hAnsi="微软雅黑" w:eastAsia="微软雅黑" w:cs="微软雅黑"/>
          <w:i w:val="0"/>
          <w:caps w:val="0"/>
          <w:color w:val="525353"/>
          <w:spacing w:val="0"/>
          <w:sz w:val="30"/>
          <w:szCs w:val="30"/>
        </w:rPr>
      </w:pPr>
      <w:r>
        <w:rPr>
          <w:rFonts w:hint="eastAsia" w:ascii="宋体" w:hAnsi="宋体" w:eastAsia="宋体" w:cs="宋体"/>
          <w:i w:val="0"/>
          <w:caps w:val="0"/>
          <w:color w:val="000000"/>
          <w:spacing w:val="0"/>
          <w:sz w:val="24"/>
          <w:szCs w:val="24"/>
          <w:bdr w:val="none" w:color="auto" w:sz="0" w:space="0"/>
          <w:shd w:val="clear" w:fill="FFFFFF"/>
        </w:rPr>
        <w:t>《广西壮族自治区政务新媒体管理办法》已经自治区人民政府同意，现印发给你们，请认真贯彻执行。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450" w:lineRule="atLeast"/>
        <w:ind w:left="0" w:right="0" w:firstLine="420"/>
        <w:jc w:val="right"/>
        <w:rPr>
          <w:rFonts w:hint="eastAsia" w:ascii="微软雅黑" w:hAnsi="微软雅黑" w:eastAsia="微软雅黑" w:cs="微软雅黑"/>
          <w:i w:val="0"/>
          <w:caps w:val="0"/>
          <w:color w:val="525353"/>
          <w:spacing w:val="0"/>
          <w:sz w:val="30"/>
          <w:szCs w:val="30"/>
        </w:rPr>
      </w:pPr>
      <w:r>
        <w:rPr>
          <w:rFonts w:hint="eastAsia" w:ascii="宋体" w:hAnsi="宋体" w:eastAsia="宋体" w:cs="宋体"/>
          <w:i w:val="0"/>
          <w:caps w:val="0"/>
          <w:color w:val="000000"/>
          <w:spacing w:val="0"/>
          <w:sz w:val="24"/>
          <w:szCs w:val="24"/>
          <w:bdr w:val="none" w:color="auto" w:sz="0" w:space="0"/>
          <w:shd w:val="clear" w:fill="FFFFFF"/>
        </w:rPr>
        <w:t>2019年12月30日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450" w:lineRule="atLeast"/>
        <w:ind w:left="0" w:right="0" w:firstLine="420"/>
        <w:jc w:val="center"/>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广西壮族自治区政务新媒体管理办法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jc w:val="center"/>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第一条</w:t>
      </w:r>
      <w:r>
        <w:rPr>
          <w:rFonts w:hint="eastAsia" w:ascii="宋体" w:hAnsi="宋体" w:eastAsia="宋体" w:cs="宋体"/>
          <w:i w:val="0"/>
          <w:caps w:val="0"/>
          <w:color w:val="000000"/>
          <w:spacing w:val="0"/>
          <w:sz w:val="24"/>
          <w:szCs w:val="24"/>
          <w:bdr w:val="none" w:color="auto" w:sz="0" w:space="0"/>
          <w:shd w:val="clear" w:fill="FFFFFF"/>
        </w:rPr>
        <w:t>为进一步加强政务新媒体建设和管理，引领全区政务新媒体规范发展、创新发展、融合发展，持续提升政府网上履职能力，根据《中华人民共和国网络安全法》、《中华人民共和国政府信息公开条例》和《国务院办公厅关于推进政务新媒体健康有序发展的意见》（国办发〔2018〕123号）等法律法规及政策文件精神，结合我区实际，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第二条</w:t>
      </w:r>
      <w:r>
        <w:rPr>
          <w:rFonts w:hint="eastAsia" w:ascii="宋体" w:hAnsi="宋体" w:eastAsia="宋体" w:cs="宋体"/>
          <w:i w:val="0"/>
          <w:caps w:val="0"/>
          <w:color w:val="000000"/>
          <w:spacing w:val="0"/>
          <w:sz w:val="24"/>
          <w:szCs w:val="24"/>
          <w:bdr w:val="none" w:color="auto" w:sz="0" w:space="0"/>
          <w:shd w:val="clear" w:fill="FFFFFF"/>
        </w:rPr>
        <w:t>本办法所称政务新媒体，是指各级行政机关、承担行政职能的事业单位及其内设机构在微博、微信等第三方平台上开设的政务账号或应用，以及自行开发建设的移动客户端等。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第三条</w:t>
      </w:r>
      <w:r>
        <w:rPr>
          <w:rFonts w:hint="eastAsia" w:ascii="宋体" w:hAnsi="宋体" w:eastAsia="宋体" w:cs="宋体"/>
          <w:i w:val="0"/>
          <w:caps w:val="0"/>
          <w:color w:val="000000"/>
          <w:spacing w:val="0"/>
          <w:sz w:val="24"/>
          <w:szCs w:val="24"/>
          <w:bdr w:val="none" w:color="auto" w:sz="0" w:space="0"/>
          <w:shd w:val="clear" w:fill="FFFFFF"/>
        </w:rPr>
        <w:t>全区政务新媒体建设和管理，以习近平新时代中国特色社会主义思想为指导，认真落实党中央、国务院和自治区党委、自治区人民政府关于全面推进政务公开和优化政务服务的决策部署，实施网络强国战略，落实网络意识形态责任制，立足政务新媒体功能定位，加强统筹规划、明确管理体制和工作机制，规范运营管理，强化常态监管，建设利企便民、亮点纷呈、人民满意的“指尖上的网上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第四条</w:t>
      </w:r>
      <w:r>
        <w:rPr>
          <w:rFonts w:hint="eastAsia" w:ascii="宋体" w:hAnsi="宋体" w:eastAsia="宋体" w:cs="宋体"/>
          <w:i w:val="0"/>
          <w:caps w:val="0"/>
          <w:color w:val="000000"/>
          <w:spacing w:val="0"/>
          <w:sz w:val="24"/>
          <w:szCs w:val="24"/>
          <w:bdr w:val="none" w:color="auto" w:sz="0" w:space="0"/>
          <w:shd w:val="clear" w:fill="FFFFFF"/>
        </w:rPr>
        <w:t>全区政务新媒体建设和管理，坚持“正确导向、需求引领、互联融合、创新发展”的原则，立足政府职能，创新工作理念、方法和机制，构建自治区、市、县三级协同联动、响应迅速的政务新媒体体系，助力企业和群众好办事、办好事，提升网上政府服务水平，全面强化政务新媒体传播力、引导力、影响力、公信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jc w:val="center"/>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第二章 职责分工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第五条</w:t>
      </w:r>
      <w:r>
        <w:rPr>
          <w:rFonts w:hint="eastAsia" w:ascii="宋体" w:hAnsi="宋体" w:eastAsia="宋体" w:cs="宋体"/>
          <w:i w:val="0"/>
          <w:caps w:val="0"/>
          <w:color w:val="000000"/>
          <w:spacing w:val="0"/>
          <w:sz w:val="24"/>
          <w:szCs w:val="24"/>
          <w:bdr w:val="none" w:color="auto" w:sz="0" w:space="0"/>
          <w:shd w:val="clear" w:fill="FFFFFF"/>
        </w:rPr>
        <w:t>自治区人民政府办公厅是全区政务新媒体工作的主管单位，负责推进、指导、协调、监督政务新媒体工作。自治区人民政府办公厅授权自治区大数据发展局履行相关管理职能。其他各级主管单位可参照自治区做法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Fonts w:hint="eastAsia" w:ascii="宋体" w:hAnsi="宋体" w:eastAsia="宋体" w:cs="宋体"/>
          <w:i w:val="0"/>
          <w:caps w:val="0"/>
          <w:color w:val="000000"/>
          <w:spacing w:val="0"/>
          <w:sz w:val="24"/>
          <w:szCs w:val="24"/>
          <w:bdr w:val="none" w:color="auto" w:sz="0" w:space="0"/>
          <w:shd w:val="clear" w:fill="FFFFFF"/>
        </w:rPr>
        <w:t>各市、县（市、区）人民政府办公室是本行政区域内政务新媒体工作的主管单位，自治区各部门办公室或指定的专门处室是本部门政务新媒体工作的主管单位，实行系统垂直管理的自治区部门的办公室或其指定的专门处室是全区本系统政务新媒体工作的主管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Fonts w:hint="eastAsia" w:ascii="宋体" w:hAnsi="宋体" w:eastAsia="宋体" w:cs="宋体"/>
          <w:i w:val="0"/>
          <w:caps w:val="0"/>
          <w:color w:val="000000"/>
          <w:spacing w:val="0"/>
          <w:sz w:val="24"/>
          <w:szCs w:val="24"/>
          <w:bdr w:val="none" w:color="auto" w:sz="0" w:space="0"/>
          <w:shd w:val="clear" w:fill="FFFFFF"/>
        </w:rPr>
        <w:t>行业管理部门负责对本行业承担公共服务职能的企事业单位新媒体工作的指导和监督。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第六条</w:t>
      </w:r>
      <w:r>
        <w:rPr>
          <w:rFonts w:hint="eastAsia" w:ascii="宋体" w:hAnsi="宋体" w:eastAsia="宋体" w:cs="宋体"/>
          <w:i w:val="0"/>
          <w:caps w:val="0"/>
          <w:color w:val="000000"/>
          <w:spacing w:val="0"/>
          <w:sz w:val="24"/>
          <w:szCs w:val="24"/>
          <w:bdr w:val="none" w:color="auto" w:sz="0" w:space="0"/>
          <w:shd w:val="clear" w:fill="FFFFFF"/>
        </w:rPr>
        <w:t>全区政务新媒体主办单位按照“谁开设、谁主办”的原则，履行政务新媒体的规划建设、组织保障、健康发展、安全管理、保密审核等职责。委托其他专门机构承办的，须明确权责，签订保密协议，加强资质审查和日常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第七条</w:t>
      </w:r>
      <w:r>
        <w:rPr>
          <w:rFonts w:hint="eastAsia" w:ascii="宋体" w:hAnsi="宋体" w:eastAsia="宋体" w:cs="宋体"/>
          <w:i w:val="0"/>
          <w:caps w:val="0"/>
          <w:color w:val="000000"/>
          <w:spacing w:val="0"/>
          <w:sz w:val="24"/>
          <w:szCs w:val="24"/>
          <w:bdr w:val="none" w:color="auto" w:sz="0" w:space="0"/>
          <w:shd w:val="clear" w:fill="FFFFFF"/>
        </w:rPr>
        <w:t>各级政务新媒体按照主管主办和属地管理原则，接受本级党委宣传部门、网信部门的有关业务统筹指导和宏观管理。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jc w:val="center"/>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第三章 开设、变更、关停、注销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第八条</w:t>
      </w:r>
      <w:r>
        <w:rPr>
          <w:rFonts w:hint="eastAsia" w:ascii="宋体" w:hAnsi="宋体" w:eastAsia="宋体" w:cs="宋体"/>
          <w:i w:val="0"/>
          <w:caps w:val="0"/>
          <w:color w:val="000000"/>
          <w:spacing w:val="0"/>
          <w:sz w:val="24"/>
          <w:szCs w:val="24"/>
          <w:bdr w:val="none" w:color="auto" w:sz="0" w:space="0"/>
          <w:shd w:val="clear" w:fill="FFFFFF"/>
        </w:rPr>
        <w:t>除涉密单位和不对外行使公共管理职能的部门外，全区县级以上人民政府及其部门应当开设政务新媒体，其他单位可根据工作需要规范开设。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Fonts w:hint="eastAsia" w:ascii="宋体" w:hAnsi="宋体" w:eastAsia="宋体" w:cs="宋体"/>
          <w:i w:val="0"/>
          <w:caps w:val="0"/>
          <w:color w:val="000000"/>
          <w:spacing w:val="0"/>
          <w:sz w:val="24"/>
          <w:szCs w:val="24"/>
          <w:bdr w:val="none" w:color="auto" w:sz="0" w:space="0"/>
          <w:shd w:val="clear" w:fill="FFFFFF"/>
        </w:rPr>
        <w:t>（一）一个单位原则上在同一平台只开设一个政务新媒体账号。对在同一平台上开设多个账号的，应清理整合。对在不同平台上功能相近、用户关注度和利用率低的，应及时清理，确属无力维护的应关停注销。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Fonts w:hint="eastAsia" w:ascii="宋体" w:hAnsi="宋体" w:eastAsia="宋体" w:cs="宋体"/>
          <w:i w:val="0"/>
          <w:caps w:val="0"/>
          <w:color w:val="000000"/>
          <w:spacing w:val="0"/>
          <w:sz w:val="24"/>
          <w:szCs w:val="24"/>
          <w:bdr w:val="none" w:color="auto" w:sz="0" w:space="0"/>
          <w:shd w:val="clear" w:fill="FFFFFF"/>
        </w:rPr>
        <w:t>（二）政务新媒体名称应体现我区县级以上行政区域名称，应与主办单位工作职责相关联，并在公开认证信息中标明主办单位名称，主办单位在不同平台上开设的政务新媒体名称原则上应保持一致。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Fonts w:hint="eastAsia" w:ascii="宋体" w:hAnsi="宋体" w:eastAsia="宋体" w:cs="宋体"/>
          <w:i w:val="0"/>
          <w:caps w:val="0"/>
          <w:color w:val="000000"/>
          <w:spacing w:val="0"/>
          <w:sz w:val="24"/>
          <w:szCs w:val="24"/>
          <w:bdr w:val="none" w:color="auto" w:sz="0" w:space="0"/>
          <w:shd w:val="clear" w:fill="FFFFFF"/>
        </w:rPr>
        <w:t>（三）主办单位应按照集约节约的原则开展移动客户端等应用系统建设，移动客户端要全面支持IPv6（互联网协议第6版），支持在不同终端便捷使用。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第九条</w:t>
      </w:r>
      <w:r>
        <w:rPr>
          <w:rFonts w:hint="eastAsia" w:ascii="宋体" w:hAnsi="宋体" w:eastAsia="宋体" w:cs="宋体"/>
          <w:i w:val="0"/>
          <w:caps w:val="0"/>
          <w:color w:val="000000"/>
          <w:spacing w:val="0"/>
          <w:sz w:val="24"/>
          <w:szCs w:val="24"/>
          <w:bdr w:val="none" w:color="auto" w:sz="0" w:space="0"/>
          <w:shd w:val="clear" w:fill="FFFFFF"/>
        </w:rPr>
        <w:t>政务新媒体应按以下流程审批：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Fonts w:hint="eastAsia" w:ascii="宋体" w:hAnsi="宋体" w:eastAsia="宋体" w:cs="宋体"/>
          <w:i w:val="0"/>
          <w:caps w:val="0"/>
          <w:color w:val="000000"/>
          <w:spacing w:val="0"/>
          <w:sz w:val="24"/>
          <w:szCs w:val="24"/>
          <w:bdr w:val="none" w:color="auto" w:sz="0" w:space="0"/>
          <w:shd w:val="clear" w:fill="FFFFFF"/>
        </w:rPr>
        <w:t>（一）填报审批表。政务新媒体开设、变更、关停、注销，主办单位应在5个工作日内填写《广西政务新媒体审批表》报批。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Fonts w:hint="eastAsia" w:ascii="宋体" w:hAnsi="宋体" w:eastAsia="宋体" w:cs="宋体"/>
          <w:i w:val="0"/>
          <w:caps w:val="0"/>
          <w:color w:val="000000"/>
          <w:spacing w:val="0"/>
          <w:sz w:val="24"/>
          <w:szCs w:val="24"/>
          <w:bdr w:val="none" w:color="auto" w:sz="0" w:space="0"/>
          <w:shd w:val="clear" w:fill="FFFFFF"/>
        </w:rPr>
        <w:t>（二）逐级审核。全区政务新媒体实行逐级审核制度，各级各部门开设、变更、关停、注销政务新媒体应向同级政务新媒体主管单位或授权管理单位（以下统称管理单位）提交审核申请，管理单位审核通过后，应向上一级政务新媒体管理单位提交审核申请，待自治区政务新媒体管理单位进行审核后，由提出申请单位具体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第十条</w:t>
      </w:r>
      <w:r>
        <w:rPr>
          <w:rFonts w:hint="eastAsia" w:ascii="宋体" w:hAnsi="宋体" w:eastAsia="宋体" w:cs="宋体"/>
          <w:i w:val="0"/>
          <w:caps w:val="0"/>
          <w:color w:val="000000"/>
          <w:spacing w:val="0"/>
          <w:sz w:val="24"/>
          <w:szCs w:val="24"/>
          <w:bdr w:val="none" w:color="auto" w:sz="0" w:space="0"/>
          <w:shd w:val="clear" w:fill="FFFFFF"/>
        </w:rPr>
        <w:t>全区县级以上人民政府开设的政务新媒体原则上不得注销。因主办单位撤销、合并等变化的，应在15个工作日内注销或变更账号信息。经自治区政务新媒体管理单位同意注销的，主办单位应向社会公告。所注销政务新媒体为移动客户端的，应在各类平台下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jc w:val="center"/>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第四章 内容建设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第十一条</w:t>
      </w:r>
      <w:r>
        <w:rPr>
          <w:rFonts w:hint="eastAsia" w:ascii="宋体" w:hAnsi="宋体" w:eastAsia="宋体" w:cs="宋体"/>
          <w:i w:val="0"/>
          <w:caps w:val="0"/>
          <w:color w:val="000000"/>
          <w:spacing w:val="0"/>
          <w:sz w:val="24"/>
          <w:szCs w:val="24"/>
          <w:bdr w:val="none" w:color="auto" w:sz="0" w:space="0"/>
          <w:shd w:val="clear" w:fill="FFFFFF"/>
        </w:rPr>
        <w:t>全区各级政务新媒体应遵循新媒体发展规律，充分发挥政务新媒体传播速度快、受众面广、互动性强等优势，以内容建设为根本，传播党和政府声音，加强正面宣传，不断强化发布、传播、互动、引导、办事等功能，为公众提供便捷实用的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第十二条</w:t>
      </w:r>
      <w:r>
        <w:rPr>
          <w:rFonts w:hint="eastAsia" w:ascii="宋体" w:hAnsi="宋体" w:eastAsia="宋体" w:cs="宋体"/>
          <w:i w:val="0"/>
          <w:caps w:val="0"/>
          <w:color w:val="000000"/>
          <w:spacing w:val="0"/>
          <w:sz w:val="24"/>
          <w:szCs w:val="24"/>
          <w:bdr w:val="none" w:color="auto" w:sz="0" w:space="0"/>
          <w:shd w:val="clear" w:fill="FFFFFF"/>
        </w:rPr>
        <w:t>全区各级政务新媒体发布信息，应当科学分类，采取适合新媒体特点和网民喜闻乐见的表达方式，确保准确权威、语义明确、语言规范、发布及时，原则上每周应有信息更新，与政府网站所载信息同根同源。不得发布商业性或违反有关法律法规规定的信息，以及危害国家安全、公共安全、经济安全和社会稳定的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第十三条</w:t>
      </w:r>
      <w:r>
        <w:rPr>
          <w:rFonts w:hint="eastAsia" w:ascii="宋体" w:hAnsi="宋体" w:eastAsia="宋体" w:cs="宋体"/>
          <w:i w:val="0"/>
          <w:caps w:val="0"/>
          <w:color w:val="000000"/>
          <w:spacing w:val="0"/>
          <w:sz w:val="24"/>
          <w:szCs w:val="24"/>
          <w:bdr w:val="none" w:color="auto" w:sz="0" w:space="0"/>
          <w:shd w:val="clear" w:fill="FFFFFF"/>
        </w:rPr>
        <w:t>全区各级政务新媒体应强化解读回应。注重运用生动活泼、通俗易懂的语言以及图表图解、音频视频等形式提升解读效果，注重发挥专家解读作用。应把政务新媒体作为突发公共事件信息发布和政务舆情回应、引导的重要平台，提高响应速度，及时公布真相、表明态度、辟除谣言，建立网上舆情引导与网下实际工作处置相同步、相协调的工作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Fonts w:hint="eastAsia" w:ascii="宋体" w:hAnsi="宋体" w:eastAsia="宋体" w:cs="宋体"/>
          <w:i w:val="0"/>
          <w:caps w:val="0"/>
          <w:color w:val="000000"/>
          <w:spacing w:val="0"/>
          <w:sz w:val="24"/>
          <w:szCs w:val="24"/>
          <w:bdr w:val="none" w:color="auto" w:sz="0" w:space="0"/>
          <w:shd w:val="clear" w:fill="FFFFFF"/>
        </w:rPr>
        <w:t>县级政务新媒体要与本地区融媒体中心建立沟通协调机制，共同做好信息发布解读回应工作。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第十四条</w:t>
      </w:r>
      <w:r>
        <w:rPr>
          <w:rFonts w:hint="eastAsia" w:ascii="宋体" w:hAnsi="宋体" w:eastAsia="宋体" w:cs="宋体"/>
          <w:i w:val="0"/>
          <w:caps w:val="0"/>
          <w:color w:val="000000"/>
          <w:spacing w:val="0"/>
          <w:sz w:val="24"/>
          <w:szCs w:val="24"/>
          <w:bdr w:val="none" w:color="auto" w:sz="0" w:space="0"/>
          <w:shd w:val="clear" w:fill="FFFFFF"/>
        </w:rPr>
        <w:t>全区各级政务新媒体应加强政民互动，认真做好公众留言审看发布、处理反馈工作。回复留言应依法依规、态度诚恳、严谨周到，杜绝答非所问、空洞说教、生硬冷漠。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第十五条</w:t>
      </w:r>
      <w:r>
        <w:rPr>
          <w:rFonts w:hint="eastAsia" w:ascii="宋体" w:hAnsi="宋体" w:eastAsia="宋体" w:cs="宋体"/>
          <w:i w:val="0"/>
          <w:caps w:val="0"/>
          <w:color w:val="000000"/>
          <w:spacing w:val="0"/>
          <w:sz w:val="24"/>
          <w:szCs w:val="24"/>
          <w:bdr w:val="none" w:color="auto" w:sz="0" w:space="0"/>
          <w:shd w:val="clear" w:fill="FFFFFF"/>
        </w:rPr>
        <w:t>全区各级政务新媒体应优化政务服务。围绕利企便民，聚合办事入口，优化用户体验，推动更多事项在政务新媒体上办理，重点推动与群众日常生产生活密切相关的民生事项向政务新媒体延伸。注重把握不同形态政务新媒体分众化、差异化的特点，创新服务模式，扩大服务受众，提升服务效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jc w:val="center"/>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第五章 运维保障与安全管理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第十六条</w:t>
      </w:r>
      <w:r>
        <w:rPr>
          <w:rFonts w:hint="eastAsia" w:ascii="宋体" w:hAnsi="宋体" w:eastAsia="宋体" w:cs="宋体"/>
          <w:i w:val="0"/>
          <w:caps w:val="0"/>
          <w:color w:val="000000"/>
          <w:spacing w:val="0"/>
          <w:sz w:val="24"/>
          <w:szCs w:val="24"/>
          <w:bdr w:val="none" w:color="auto" w:sz="0" w:space="0"/>
          <w:shd w:val="clear" w:fill="FFFFFF"/>
        </w:rPr>
        <w:t>主办单位应制定内容发布审核制度，坚持分级分类审核、先审后发，明确审核主体、审核流程。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第十七条</w:t>
      </w:r>
      <w:r>
        <w:rPr>
          <w:rFonts w:hint="eastAsia" w:ascii="宋体" w:hAnsi="宋体" w:eastAsia="宋体" w:cs="宋体"/>
          <w:i w:val="0"/>
          <w:caps w:val="0"/>
          <w:color w:val="000000"/>
          <w:spacing w:val="0"/>
          <w:sz w:val="24"/>
          <w:szCs w:val="24"/>
          <w:bdr w:val="none" w:color="auto" w:sz="0" w:space="0"/>
          <w:shd w:val="clear" w:fill="FFFFFF"/>
        </w:rPr>
        <w:t>主办单位应建立原创激励机制，按照规范加大信息采编力度，提高原创信息比例。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第十八条</w:t>
      </w:r>
      <w:r>
        <w:rPr>
          <w:rFonts w:hint="eastAsia" w:ascii="宋体" w:hAnsi="宋体" w:eastAsia="宋体" w:cs="宋体"/>
          <w:i w:val="0"/>
          <w:caps w:val="0"/>
          <w:color w:val="000000"/>
          <w:spacing w:val="0"/>
          <w:sz w:val="24"/>
          <w:szCs w:val="24"/>
          <w:bdr w:val="none" w:color="auto" w:sz="0" w:space="0"/>
          <w:shd w:val="clear" w:fill="FFFFFF"/>
        </w:rPr>
        <w:t>主办单位应建立值班值守制度，加强日常内容监测，确保信息更新及时、内容准确权威，发现违法或严重表述错误等问题应第一时间处理，发现重大舆情应按程序及时上报。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第十九条</w:t>
      </w:r>
      <w:r>
        <w:rPr>
          <w:rFonts w:hint="eastAsia" w:ascii="宋体" w:hAnsi="宋体" w:eastAsia="宋体" w:cs="宋体"/>
          <w:i w:val="0"/>
          <w:caps w:val="0"/>
          <w:color w:val="000000"/>
          <w:spacing w:val="0"/>
          <w:sz w:val="24"/>
          <w:szCs w:val="24"/>
          <w:bdr w:val="none" w:color="auto" w:sz="0" w:space="0"/>
          <w:shd w:val="clear" w:fill="FFFFFF"/>
        </w:rPr>
        <w:t>主办单位应落实安全责任，按照网络安全等法律法规，制定完善安全管理制度和操作规程。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Fonts w:hint="eastAsia" w:ascii="宋体" w:hAnsi="宋体" w:eastAsia="宋体" w:cs="宋体"/>
          <w:i w:val="0"/>
          <w:caps w:val="0"/>
          <w:color w:val="000000"/>
          <w:spacing w:val="0"/>
          <w:sz w:val="24"/>
          <w:szCs w:val="24"/>
          <w:bdr w:val="none" w:color="auto" w:sz="0" w:space="0"/>
          <w:shd w:val="clear" w:fill="FFFFFF"/>
        </w:rPr>
        <w:t>主办单位应建立政务新媒体安全监测预警机制、应急响应机制，积极配合网信、公安等部门打击假冒政务新媒体，划分政务新媒体安全事件等级，明确相应处理流程，预防被盗用账号、篡改信息以及被恶意攻击等安全事件发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Fonts w:hint="eastAsia" w:ascii="宋体" w:hAnsi="宋体" w:eastAsia="宋体" w:cs="宋体"/>
          <w:i w:val="0"/>
          <w:caps w:val="0"/>
          <w:color w:val="000000"/>
          <w:spacing w:val="0"/>
          <w:sz w:val="24"/>
          <w:szCs w:val="24"/>
          <w:bdr w:val="none" w:color="auto" w:sz="0" w:space="0"/>
          <w:shd w:val="clear" w:fill="FFFFFF"/>
        </w:rPr>
        <w:t>管理单位应加强政务新媒体的日常监管，定期组织检查，积极运用技术手段进行实时监控，及时通报、督促整改存在的突出问题，对发现的假冒政务新媒体，要求第三方平台立即注销，并通报有关部门依法依规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第二十条</w:t>
      </w:r>
      <w:r>
        <w:rPr>
          <w:rFonts w:hint="eastAsia" w:ascii="宋体" w:hAnsi="宋体" w:eastAsia="宋体" w:cs="宋体"/>
          <w:i w:val="0"/>
          <w:caps w:val="0"/>
          <w:color w:val="000000"/>
          <w:spacing w:val="0"/>
          <w:sz w:val="24"/>
          <w:szCs w:val="24"/>
          <w:bdr w:val="none" w:color="auto" w:sz="0" w:space="0"/>
          <w:shd w:val="clear" w:fill="FFFFFF"/>
        </w:rPr>
        <w:t>主办单位应建立用户信息数据安全保护制度，收集、使用用户信息数据应遵循合法、正当、必要的原则，不得违法违规获取超过服务需求的个人信息，不得公开损害用户权益的内容。严禁购买“粉丝”等数据造假行为，不得强制要求下载使用移动客户端或点赞、转发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第二十一条</w:t>
      </w:r>
      <w:r>
        <w:rPr>
          <w:rFonts w:hint="eastAsia" w:ascii="宋体" w:hAnsi="宋体" w:eastAsia="宋体" w:cs="宋体"/>
          <w:i w:val="0"/>
          <w:caps w:val="0"/>
          <w:color w:val="000000"/>
          <w:spacing w:val="0"/>
          <w:sz w:val="24"/>
          <w:szCs w:val="24"/>
          <w:bdr w:val="none" w:color="auto" w:sz="0" w:space="0"/>
          <w:shd w:val="clear" w:fill="FFFFFF"/>
        </w:rPr>
        <w:t>全区各级人民政府和实行系统垂直管理的自治区部门应建立政务新媒体矩阵，归集展示本地区、本系统的政务新媒体；应建立健全政务新媒体之间协同联动机制，畅通沟通渠道，扩大传播合力和影响力。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jc w:val="center"/>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第六章 组织保障与考核评价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第二十二条</w:t>
      </w:r>
      <w:r>
        <w:rPr>
          <w:rFonts w:hint="eastAsia" w:ascii="宋体" w:hAnsi="宋体" w:eastAsia="宋体" w:cs="宋体"/>
          <w:i w:val="0"/>
          <w:caps w:val="0"/>
          <w:color w:val="000000"/>
          <w:spacing w:val="0"/>
          <w:sz w:val="24"/>
          <w:szCs w:val="24"/>
          <w:bdr w:val="none" w:color="auto" w:sz="0" w:space="0"/>
          <w:shd w:val="clear" w:fill="FFFFFF"/>
        </w:rPr>
        <w:t>全区各级各部门应加强组织领导，加大统筹协调力度，明晰权责主体，落实主要负责人“第一责任人”和分管负责人“直接责任人”责任；建立健全开设、运维、应用、监管等制度机制；配备内容编辑、内容审核和技术保障人员，专岗专责，落实专项经费；抓实抓好教育培训，将政务新媒体工作纳入公务员教育培训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第二十三条</w:t>
      </w:r>
      <w:r>
        <w:rPr>
          <w:rFonts w:hint="eastAsia" w:ascii="宋体" w:hAnsi="宋体" w:eastAsia="宋体" w:cs="宋体"/>
          <w:i w:val="0"/>
          <w:caps w:val="0"/>
          <w:color w:val="000000"/>
          <w:spacing w:val="0"/>
          <w:sz w:val="24"/>
          <w:szCs w:val="24"/>
          <w:bdr w:val="none" w:color="auto" w:sz="0" w:space="0"/>
          <w:shd w:val="clear" w:fill="FFFFFF"/>
        </w:rPr>
        <w:t>全区各级政务新媒体管理单位应每年定期对开设、变更、关停、注销的政务新媒体进行专项检查。未按有关程序和要求自行开设、自行下线、自行变更的或未按要求整改的，本级和上级政务新媒体管理单位要对主办单位及其有关责任人严肃问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第二十四条</w:t>
      </w:r>
      <w:r>
        <w:rPr>
          <w:rFonts w:hint="eastAsia" w:ascii="宋体" w:hAnsi="宋体" w:eastAsia="宋体" w:cs="宋体"/>
          <w:i w:val="0"/>
          <w:caps w:val="0"/>
          <w:color w:val="000000"/>
          <w:spacing w:val="0"/>
          <w:sz w:val="24"/>
          <w:szCs w:val="24"/>
          <w:bdr w:val="none" w:color="auto" w:sz="0" w:space="0"/>
          <w:shd w:val="clear" w:fill="FFFFFF"/>
        </w:rPr>
        <w:t>全区各级各部门应将政务新媒体工作情况列入年度绩效考评，制定考核评价方法。自治区政务新媒体管理单位负责每年对全区政务新媒体进行绩效考评，各市政务新媒体管理单位负责每年对本地区政务新媒体进行绩效考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第二十五条</w:t>
      </w:r>
      <w:r>
        <w:rPr>
          <w:rFonts w:hint="eastAsia" w:ascii="宋体" w:hAnsi="宋体" w:eastAsia="宋体" w:cs="宋体"/>
          <w:i w:val="0"/>
          <w:caps w:val="0"/>
          <w:color w:val="000000"/>
          <w:spacing w:val="0"/>
          <w:sz w:val="24"/>
          <w:szCs w:val="24"/>
          <w:bdr w:val="none" w:color="auto" w:sz="0" w:space="0"/>
          <w:shd w:val="clear" w:fill="FFFFFF"/>
        </w:rPr>
        <w:t>对违反规定发布、转载不良或有害信息、破坏网络传播秩序、损害公众权益等突出问题，造成重大信息安全事故、引发重大网络舆情等不良后果的，被国家、自治区通报存在突出问题或不合格的，本级和上级政务新媒体管理单位要对主办单位及其有关责任人严肃问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Fonts w:hint="eastAsia" w:ascii="宋体" w:hAnsi="宋体" w:eastAsia="宋体" w:cs="宋体"/>
          <w:i w:val="0"/>
          <w:caps w:val="0"/>
          <w:color w:val="000000"/>
          <w:spacing w:val="0"/>
          <w:sz w:val="24"/>
          <w:szCs w:val="24"/>
          <w:bdr w:val="none" w:color="auto" w:sz="0" w:space="0"/>
          <w:shd w:val="clear" w:fill="FFFFFF"/>
        </w:rPr>
        <w:t>对制度不健全、责任不落实、管理不到位的主办单位，管理单位应当依法依规约谈、警告、通报相关责任人或者责令关停政务新媒体账号等。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第二十六条</w:t>
      </w:r>
      <w:r>
        <w:rPr>
          <w:rFonts w:hint="eastAsia" w:ascii="宋体" w:hAnsi="宋体" w:eastAsia="宋体" w:cs="宋体"/>
          <w:i w:val="0"/>
          <w:caps w:val="0"/>
          <w:color w:val="000000"/>
          <w:spacing w:val="0"/>
          <w:sz w:val="24"/>
          <w:szCs w:val="24"/>
          <w:bdr w:val="none" w:color="auto" w:sz="0" w:space="0"/>
          <w:shd w:val="clear" w:fill="FFFFFF"/>
        </w:rPr>
        <w:t>对政务新媒体工作成效好的单位和个人，按照有关规定予以激励表扬。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jc w:val="center"/>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第七章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第二十七条</w:t>
      </w:r>
      <w:r>
        <w:rPr>
          <w:rFonts w:hint="eastAsia" w:ascii="宋体" w:hAnsi="宋体" w:eastAsia="宋体" w:cs="宋体"/>
          <w:i w:val="0"/>
          <w:caps w:val="0"/>
          <w:color w:val="000000"/>
          <w:spacing w:val="0"/>
          <w:sz w:val="24"/>
          <w:szCs w:val="24"/>
          <w:bdr w:val="none" w:color="auto" w:sz="0" w:space="0"/>
          <w:shd w:val="clear" w:fill="FFFFFF"/>
        </w:rPr>
        <w:t>本办法公布前开办的政务新媒体，自本办法公布之日起30个工作日内，依照本办法补办有关手续。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第二十八条</w:t>
      </w:r>
      <w:r>
        <w:rPr>
          <w:rFonts w:hint="eastAsia" w:ascii="宋体" w:hAnsi="宋体" w:eastAsia="宋体" w:cs="宋体"/>
          <w:i w:val="0"/>
          <w:caps w:val="0"/>
          <w:color w:val="000000"/>
          <w:spacing w:val="0"/>
          <w:sz w:val="24"/>
          <w:szCs w:val="24"/>
          <w:bdr w:val="none" w:color="auto" w:sz="0" w:space="0"/>
          <w:shd w:val="clear" w:fill="FFFFFF"/>
        </w:rPr>
        <w:t>自治区有关部门、市县及其有关部门可参照本办法制定本地区、本部门政务新媒体管理实施细则。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第二十九条</w:t>
      </w:r>
      <w:r>
        <w:rPr>
          <w:rFonts w:hint="eastAsia" w:ascii="宋体" w:hAnsi="宋体" w:eastAsia="宋体" w:cs="宋体"/>
          <w:i w:val="0"/>
          <w:caps w:val="0"/>
          <w:color w:val="000000"/>
          <w:spacing w:val="0"/>
          <w:sz w:val="24"/>
          <w:szCs w:val="24"/>
          <w:bdr w:val="none" w:color="auto" w:sz="0" w:space="0"/>
          <w:shd w:val="clear" w:fill="FFFFFF"/>
        </w:rPr>
        <w:t>本办法由自治区政务新媒体管理单位负责解释。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480" w:lineRule="exact"/>
        <w:ind w:left="0" w:right="0" w:firstLine="420"/>
        <w:textAlignment w:val="auto"/>
        <w:rPr>
          <w:rFonts w:hint="eastAsia" w:ascii="微软雅黑" w:hAnsi="微软雅黑" w:eastAsia="微软雅黑" w:cs="微软雅黑"/>
          <w:i w:val="0"/>
          <w:caps w:val="0"/>
          <w:color w:val="525353"/>
          <w:spacing w:val="0"/>
          <w:sz w:val="30"/>
          <w:szCs w:val="30"/>
        </w:rPr>
      </w:pPr>
      <w:r>
        <w:rPr>
          <w:rStyle w:val="6"/>
          <w:rFonts w:hint="eastAsia" w:ascii="宋体" w:hAnsi="宋体" w:eastAsia="宋体" w:cs="宋体"/>
          <w:i w:val="0"/>
          <w:caps w:val="0"/>
          <w:color w:val="000000"/>
          <w:spacing w:val="0"/>
          <w:sz w:val="24"/>
          <w:szCs w:val="24"/>
          <w:bdr w:val="none" w:color="auto" w:sz="0" w:space="0"/>
          <w:shd w:val="clear" w:fill="FFFFFF"/>
        </w:rPr>
        <w:t>第三十条</w:t>
      </w:r>
      <w:r>
        <w:rPr>
          <w:rFonts w:hint="eastAsia" w:ascii="宋体" w:hAnsi="宋体" w:eastAsia="宋体" w:cs="宋体"/>
          <w:i w:val="0"/>
          <w:caps w:val="0"/>
          <w:color w:val="000000"/>
          <w:spacing w:val="0"/>
          <w:sz w:val="24"/>
          <w:szCs w:val="24"/>
          <w:bdr w:val="none" w:color="auto" w:sz="0" w:space="0"/>
          <w:shd w:val="clear" w:fill="FFFFFF"/>
        </w:rPr>
        <w:t>本办法自公布之日起施行。</w:t>
      </w:r>
    </w:p>
    <w:p/>
    <w:p/>
    <w:p>
      <w:pPr>
        <w:keepNext w:val="0"/>
        <w:keepLines w:val="0"/>
        <w:widowControl w:val="0"/>
        <w:suppressLineNumbers w:val="0"/>
        <w:adjustRightInd w:val="0"/>
        <w:snapToGrid w:val="0"/>
        <w:spacing w:before="0" w:beforeAutospacing="0" w:after="0" w:afterAutospacing="0" w:line="500" w:lineRule="exact"/>
        <w:ind w:left="0" w:right="0"/>
        <w:jc w:val="both"/>
        <w:rPr>
          <w:rFonts w:hint="eastAsia" w:ascii="方正黑体_GBK" w:hAnsi="方正黑体_GBK" w:eastAsia="方正黑体_GBK" w:cs="方正黑体_GBK"/>
          <w:color w:val="000000"/>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500" w:lineRule="exact"/>
        <w:ind w:left="0" w:right="0"/>
        <w:jc w:val="both"/>
        <w:rPr>
          <w:rFonts w:hint="eastAsia" w:ascii="方正黑体_GBK" w:hAnsi="方正黑体_GBK" w:eastAsia="方正黑体_GBK" w:cs="方正黑体_GBK"/>
          <w:color w:val="000000"/>
          <w:kern w:val="2"/>
          <w:sz w:val="32"/>
          <w:szCs w:val="32"/>
          <w:lang w:val="en-US" w:eastAsia="zh-CN" w:bidi="ar"/>
        </w:rPr>
      </w:pPr>
      <w:bookmarkStart w:id="0" w:name="_GoBack"/>
      <w:bookmarkEnd w:id="0"/>
    </w:p>
    <w:p>
      <w:pPr>
        <w:keepNext w:val="0"/>
        <w:keepLines w:val="0"/>
        <w:widowControl w:val="0"/>
        <w:suppressLineNumbers w:val="0"/>
        <w:adjustRightInd w:val="0"/>
        <w:snapToGrid w:val="0"/>
        <w:spacing w:before="0" w:beforeAutospacing="0" w:after="0" w:afterAutospacing="0" w:line="500" w:lineRule="exact"/>
        <w:ind w:left="0" w:right="0"/>
        <w:jc w:val="both"/>
        <w:rPr>
          <w:rFonts w:hint="eastAsia" w:ascii="方正黑体_GBK" w:hAnsi="方正黑体_GBK" w:eastAsia="方正黑体_GBK" w:cs="方正黑体_GBK"/>
          <w:color w:val="000000"/>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500" w:lineRule="exact"/>
        <w:ind w:left="0" w:right="0"/>
        <w:jc w:val="both"/>
        <w:rPr>
          <w:rFonts w:hint="eastAsia" w:ascii="方正黑体_GBK" w:hAnsi="方正黑体_GBK" w:eastAsia="方正黑体_GBK" w:cs="方正黑体_GBK"/>
          <w:color w:val="000000"/>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500" w:lineRule="exact"/>
        <w:ind w:left="0" w:right="0"/>
        <w:jc w:val="both"/>
        <w:rPr>
          <w:rFonts w:hint="eastAsia" w:ascii="方正黑体_GBK" w:hAnsi="方正黑体_GBK" w:eastAsia="方正黑体_GBK" w:cs="方正黑体_GBK"/>
          <w:color w:val="000000"/>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500" w:lineRule="exact"/>
        <w:ind w:left="0" w:right="0"/>
        <w:jc w:val="both"/>
        <w:rPr>
          <w:rFonts w:hint="eastAsia" w:ascii="方正黑体_GBK" w:hAnsi="方正黑体_GBK" w:eastAsia="方正黑体_GBK" w:cs="方正黑体_GBK"/>
          <w:color w:val="000000"/>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500" w:lineRule="exact"/>
        <w:ind w:left="0" w:right="0"/>
        <w:jc w:val="both"/>
        <w:rPr>
          <w:rFonts w:hint="eastAsia" w:ascii="方正黑体_GBK" w:hAnsi="方正黑体_GBK" w:eastAsia="方正黑体_GBK" w:cs="方正黑体_GBK"/>
          <w:color w:val="000000"/>
          <w:sz w:val="32"/>
          <w:szCs w:val="32"/>
          <w:lang w:val="en-US"/>
        </w:rPr>
      </w:pPr>
      <w:r>
        <w:rPr>
          <w:rFonts w:hint="eastAsia" w:ascii="方正黑体_GBK" w:hAnsi="方正黑体_GBK" w:eastAsia="方正黑体_GBK" w:cs="方正黑体_GBK"/>
          <w:color w:val="000000"/>
          <w:kern w:val="2"/>
          <w:sz w:val="32"/>
          <w:szCs w:val="32"/>
          <w:lang w:val="en-US" w:eastAsia="zh-CN" w:bidi="ar"/>
        </w:rPr>
        <w:t>附件</w:t>
      </w:r>
    </w:p>
    <w:p>
      <w:pPr>
        <w:pStyle w:val="9"/>
        <w:widowControl/>
        <w:spacing w:line="500" w:lineRule="exact"/>
        <w:rPr>
          <w:lang w:val="en-US"/>
        </w:rPr>
      </w:pPr>
    </w:p>
    <w:p>
      <w:pPr>
        <w:pStyle w:val="9"/>
        <w:widowControl/>
        <w:snapToGrid w:val="0"/>
        <w:spacing w:line="500" w:lineRule="exact"/>
        <w:jc w:val="center"/>
        <w:rPr>
          <w:rFonts w:hint="default" w:ascii="Times New Roman" w:hAnsi="Times New Roman" w:eastAsia="方正小标宋_GBK" w:cs="宋体"/>
          <w:sz w:val="44"/>
          <w:szCs w:val="44"/>
          <w:lang w:val="en-US"/>
        </w:rPr>
      </w:pPr>
      <w:r>
        <w:rPr>
          <w:rFonts w:hint="eastAsia" w:ascii="Times New Roman" w:hAnsi="Times New Roman" w:eastAsia="方正小标宋_GBK" w:cs="方正小标宋_GBK"/>
          <w:sz w:val="44"/>
          <w:szCs w:val="44"/>
          <w:lang w:eastAsia="zh-CN"/>
        </w:rPr>
        <w:t>广西政务新媒体审批表</w:t>
      </w:r>
    </w:p>
    <w:p>
      <w:pPr>
        <w:pStyle w:val="9"/>
        <w:widowControl/>
        <w:snapToGrid w:val="0"/>
        <w:spacing w:line="500" w:lineRule="exact"/>
        <w:rPr>
          <w:rFonts w:hint="default" w:ascii="Times New Roman" w:hAnsi="Times New Roman" w:eastAsia="方正小标宋_GBK" w:cs="宋体"/>
          <w:sz w:val="32"/>
          <w:szCs w:val="32"/>
          <w:lang w:val="en-US"/>
        </w:rPr>
      </w:pPr>
    </w:p>
    <w:tbl>
      <w:tblPr>
        <w:tblStyle w:val="4"/>
        <w:tblW w:w="9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57" w:type="dxa"/>
          <w:bottom w:w="0" w:type="dxa"/>
          <w:right w:w="57" w:type="dxa"/>
        </w:tblCellMar>
      </w:tblPr>
      <w:tblGrid>
        <w:gridCol w:w="1907"/>
        <w:gridCol w:w="1217"/>
        <w:gridCol w:w="1161"/>
        <w:gridCol w:w="514"/>
        <w:gridCol w:w="967"/>
        <w:gridCol w:w="966"/>
        <w:gridCol w:w="260"/>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57" w:type="dxa"/>
            <w:bottom w:w="0" w:type="dxa"/>
            <w:right w:w="57" w:type="dxa"/>
          </w:tblCellMar>
        </w:tblPrEx>
        <w:trPr>
          <w:trHeight w:val="510"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账号ID及名称</w:t>
            </w:r>
          </w:p>
        </w:tc>
        <w:tc>
          <w:tcPr>
            <w:tcW w:w="238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p>
        </w:tc>
        <w:tc>
          <w:tcPr>
            <w:tcW w:w="245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创建/注册日期</w:t>
            </w:r>
          </w:p>
        </w:tc>
        <w:tc>
          <w:tcPr>
            <w:tcW w:w="237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发布平台（系统）</w:t>
            </w:r>
          </w:p>
        </w:tc>
        <w:tc>
          <w:tcPr>
            <w:tcW w:w="238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p>
        </w:tc>
        <w:tc>
          <w:tcPr>
            <w:tcW w:w="245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是否通过认证</w:t>
            </w:r>
          </w:p>
        </w:tc>
        <w:tc>
          <w:tcPr>
            <w:tcW w:w="237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管理单位</w:t>
            </w:r>
          </w:p>
        </w:tc>
        <w:tc>
          <w:tcPr>
            <w:tcW w:w="238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p>
        </w:tc>
        <w:tc>
          <w:tcPr>
            <w:tcW w:w="245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是否取得互联网新闻信息服务资质</w:t>
            </w:r>
          </w:p>
        </w:tc>
        <w:tc>
          <w:tcPr>
            <w:tcW w:w="237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90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主办单位</w:t>
            </w:r>
          </w:p>
        </w:tc>
        <w:tc>
          <w:tcPr>
            <w:tcW w:w="2380" w:type="dxa"/>
            <w:gridSpan w:val="2"/>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p>
        </w:tc>
        <w:tc>
          <w:tcPr>
            <w:tcW w:w="245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主办单位分管领导及职务</w:t>
            </w:r>
          </w:p>
        </w:tc>
        <w:tc>
          <w:tcPr>
            <w:tcW w:w="237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90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Calibri"/>
                <w:sz w:val="20"/>
                <w:szCs w:val="20"/>
              </w:rPr>
            </w:pPr>
          </w:p>
        </w:tc>
        <w:tc>
          <w:tcPr>
            <w:tcW w:w="2380" w:type="dxa"/>
            <w:gridSpan w:val="2"/>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Calibri"/>
                <w:sz w:val="20"/>
                <w:szCs w:val="20"/>
              </w:rPr>
            </w:pPr>
          </w:p>
        </w:tc>
        <w:tc>
          <w:tcPr>
            <w:tcW w:w="245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联系电话</w:t>
            </w:r>
          </w:p>
        </w:tc>
        <w:tc>
          <w:tcPr>
            <w:tcW w:w="237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90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承办单位</w:t>
            </w:r>
          </w:p>
        </w:tc>
        <w:tc>
          <w:tcPr>
            <w:tcW w:w="2380" w:type="dxa"/>
            <w:gridSpan w:val="2"/>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p>
        </w:tc>
        <w:tc>
          <w:tcPr>
            <w:tcW w:w="245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承办单位分管领导及职务</w:t>
            </w:r>
          </w:p>
        </w:tc>
        <w:tc>
          <w:tcPr>
            <w:tcW w:w="237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90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Calibri"/>
                <w:sz w:val="20"/>
                <w:szCs w:val="20"/>
              </w:rPr>
            </w:pPr>
          </w:p>
        </w:tc>
        <w:tc>
          <w:tcPr>
            <w:tcW w:w="2380" w:type="dxa"/>
            <w:gridSpan w:val="2"/>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Calibri"/>
                <w:sz w:val="20"/>
                <w:szCs w:val="20"/>
              </w:rPr>
            </w:pPr>
          </w:p>
        </w:tc>
        <w:tc>
          <w:tcPr>
            <w:tcW w:w="245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联系电话</w:t>
            </w:r>
          </w:p>
        </w:tc>
        <w:tc>
          <w:tcPr>
            <w:tcW w:w="237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32"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政务新媒体平台</w:t>
            </w:r>
          </w:p>
        </w:tc>
        <w:tc>
          <w:tcPr>
            <w:tcW w:w="7200" w:type="dxa"/>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 xml:space="preserve">□微博    □微信（服务号/订阅号/小程序）    □移动客户端（APP ）     </w:t>
            </w:r>
            <w:r>
              <w:rPr>
                <w:rFonts w:hint="eastAsia" w:ascii="方正书宋_GBK" w:hAnsi="方正书宋_GBK" w:eastAsia="方正书宋_GBK" w:cs="方正书宋_GBK"/>
                <w:color w:val="000000"/>
                <w:kern w:val="2"/>
                <w:sz w:val="21"/>
                <w:szCs w:val="21"/>
                <w:bdr w:val="none" w:color="auto" w:sz="0" w:space="0"/>
                <w:lang w:val="en-US" w:eastAsia="zh-CN" w:bidi="ar"/>
              </w:rPr>
              <w:br w:type="textWrapping"/>
            </w:r>
            <w:r>
              <w:rPr>
                <w:rFonts w:hint="eastAsia" w:ascii="方正书宋_GBK" w:hAnsi="方正书宋_GBK" w:eastAsia="方正书宋_GBK" w:cs="方正书宋_GBK"/>
                <w:color w:val="000000"/>
                <w:kern w:val="2"/>
                <w:sz w:val="21"/>
                <w:szCs w:val="21"/>
                <w:bdr w:val="none" w:color="auto" w:sz="0" w:space="0"/>
                <w:lang w:val="en-US" w:eastAsia="zh-CN" w:bidi="ar"/>
              </w:rPr>
              <w:t xml:space="preserve">□今日头条    □百度百家号   □抖音    □微视 </w:t>
            </w:r>
          </w:p>
          <w:p>
            <w:pPr>
              <w:keepNext w:val="0"/>
              <w:keepLines w:val="0"/>
              <w:widowControl w:val="0"/>
              <w:suppressLineNumbers w:val="0"/>
              <w:spacing w:before="0" w:beforeAutospacing="0" w:after="0" w:afterAutospacing="0" w:line="300" w:lineRule="exact"/>
              <w:ind w:left="0" w:right="0"/>
              <w:jc w:val="both"/>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□其他</w:t>
            </w:r>
            <w:r>
              <w:rPr>
                <w:rFonts w:hint="eastAsia" w:ascii="方正书宋_GBK" w:hAnsi="方正书宋_GBK" w:eastAsia="方正书宋_GBK" w:cs="方正书宋_GBK"/>
                <w:color w:val="000000"/>
                <w:kern w:val="2"/>
                <w:sz w:val="21"/>
                <w:szCs w:val="21"/>
                <w:u w:val="single"/>
                <w:bdr w:val="none" w:color="auto" w:sz="0" w:space="0"/>
                <w:lang w:val="en-US" w:eastAsia="zh-CN" w:bidi="ar"/>
              </w:rPr>
              <w:t xml:space="preserve">               </w:t>
            </w:r>
            <w:r>
              <w:rPr>
                <w:rFonts w:hint="eastAsia" w:ascii="方正书宋_GBK" w:hAnsi="方正书宋_GBK" w:eastAsia="方正书宋_GBK" w:cs="方正书宋_GBK"/>
                <w:color w:val="000000"/>
                <w:kern w:val="2"/>
                <w:sz w:val="21"/>
                <w:szCs w:val="21"/>
                <w:bdr w:val="none" w:color="auto" w:sz="0" w:space="0"/>
                <w:lang w:val="en-US" w:eastAsia="zh-CN" w:bidi="ar"/>
              </w:rPr>
              <w:t>（具体平台名称）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访问链接</w:t>
            </w:r>
          </w:p>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或二维码</w:t>
            </w:r>
          </w:p>
        </w:tc>
        <w:tc>
          <w:tcPr>
            <w:tcW w:w="7200" w:type="dxa"/>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hint="eastAsia" w:ascii="方正书宋_GBK" w:hAnsi="方正书宋_GBK" w:eastAsia="方正书宋_GBK" w:cs="方正书宋_GBK"/>
                <w:color w:val="000000"/>
                <w:sz w:val="21"/>
                <w:szCs w:val="21"/>
                <w:u w:val="single"/>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开设/变更/关停/</w:t>
            </w:r>
            <w:r>
              <w:rPr>
                <w:rFonts w:hint="eastAsia" w:ascii="方正书宋_GBK" w:hAnsi="方正书宋_GBK" w:eastAsia="方正书宋_GBK" w:cs="方正书宋_GBK"/>
                <w:color w:val="000000"/>
                <w:kern w:val="2"/>
                <w:sz w:val="21"/>
                <w:szCs w:val="21"/>
                <w:bdr w:val="none" w:color="auto" w:sz="0" w:space="0"/>
                <w:lang w:val="en-US" w:eastAsia="zh-CN" w:bidi="ar"/>
              </w:rPr>
              <w:br w:type="textWrapping"/>
            </w:r>
            <w:r>
              <w:rPr>
                <w:rFonts w:hint="eastAsia" w:ascii="方正书宋_GBK" w:hAnsi="方正书宋_GBK" w:eastAsia="方正书宋_GBK" w:cs="方正书宋_GBK"/>
                <w:color w:val="000000"/>
                <w:kern w:val="2"/>
                <w:sz w:val="21"/>
                <w:szCs w:val="21"/>
                <w:bdr w:val="none" w:color="auto" w:sz="0" w:space="0"/>
                <w:lang w:val="en-US" w:eastAsia="zh-CN" w:bidi="ar"/>
              </w:rPr>
              <w:t>注销理由</w:t>
            </w:r>
          </w:p>
        </w:tc>
        <w:tc>
          <w:tcPr>
            <w:tcW w:w="7200" w:type="dxa"/>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hint="eastAsia" w:ascii="方正书宋_GBK" w:hAnsi="方正书宋_GBK" w:eastAsia="方正书宋_GBK" w:cs="方正书宋_GBK"/>
                <w:color w:val="000000"/>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主办单位</w:t>
            </w:r>
          </w:p>
          <w:p>
            <w:pPr>
              <w:keepNext w:val="0"/>
              <w:keepLines w:val="0"/>
              <w:widowControl w:val="0"/>
              <w:suppressLineNumbers w:val="0"/>
              <w:adjustRightInd w:val="0"/>
              <w:snapToGrid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意    见</w:t>
            </w:r>
          </w:p>
        </w:tc>
        <w:tc>
          <w:tcPr>
            <w:tcW w:w="7200" w:type="dxa"/>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300" w:lineRule="exact"/>
              <w:ind w:left="0" w:right="0"/>
              <w:jc w:val="right"/>
              <w:rPr>
                <w:rFonts w:hint="eastAsia" w:ascii="方正书宋_GBK" w:hAnsi="方正书宋_GBK" w:eastAsia="方正书宋_GBK" w:cs="方正书宋_GBK"/>
                <w:color w:val="000000"/>
                <w:sz w:val="21"/>
                <w:szCs w:val="21"/>
                <w:bdr w:val="none" w:color="auto" w:sz="0" w:space="0"/>
                <w:lang w:val="en-US"/>
              </w:rPr>
            </w:pPr>
          </w:p>
          <w:p>
            <w:pPr>
              <w:keepNext w:val="0"/>
              <w:keepLines w:val="0"/>
              <w:widowControl w:val="0"/>
              <w:suppressLineNumbers w:val="0"/>
              <w:adjustRightInd w:val="0"/>
              <w:snapToGrid w:val="0"/>
              <w:spacing w:before="0" w:beforeAutospacing="0" w:after="0" w:afterAutospacing="0" w:line="300" w:lineRule="exact"/>
              <w:ind w:left="0" w:right="0"/>
              <w:jc w:val="right"/>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 xml:space="preserve">单位（盖公章） </w:t>
            </w:r>
          </w:p>
          <w:p>
            <w:pPr>
              <w:keepNext w:val="0"/>
              <w:keepLines w:val="0"/>
              <w:widowControl w:val="0"/>
              <w:suppressLineNumbers w:val="0"/>
              <w:adjustRightInd w:val="0"/>
              <w:snapToGrid w:val="0"/>
              <w:spacing w:before="0" w:beforeAutospacing="0" w:after="0" w:afterAutospacing="0" w:line="300" w:lineRule="exact"/>
              <w:ind w:left="0" w:right="0"/>
              <w:jc w:val="right"/>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县级管理单位</w:t>
            </w:r>
          </w:p>
          <w:p>
            <w:pPr>
              <w:keepNext w:val="0"/>
              <w:keepLines w:val="0"/>
              <w:widowControl w:val="0"/>
              <w:suppressLineNumbers w:val="0"/>
              <w:adjustRightInd w:val="0"/>
              <w:snapToGrid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审核意见</w:t>
            </w:r>
          </w:p>
        </w:tc>
        <w:tc>
          <w:tcPr>
            <w:tcW w:w="7200" w:type="dxa"/>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300" w:lineRule="exact"/>
              <w:ind w:left="0" w:right="0"/>
              <w:jc w:val="right"/>
              <w:rPr>
                <w:rFonts w:hint="eastAsia" w:ascii="方正书宋_GBK" w:hAnsi="方正书宋_GBK" w:eastAsia="方正书宋_GBK" w:cs="方正书宋_GBK"/>
                <w:color w:val="000000"/>
                <w:sz w:val="21"/>
                <w:szCs w:val="21"/>
                <w:bdr w:val="none" w:color="auto" w:sz="0" w:space="0"/>
                <w:lang w:val="en-US"/>
              </w:rPr>
            </w:pPr>
          </w:p>
          <w:p>
            <w:pPr>
              <w:keepNext w:val="0"/>
              <w:keepLines w:val="0"/>
              <w:widowControl w:val="0"/>
              <w:suppressLineNumbers w:val="0"/>
              <w:adjustRightInd w:val="0"/>
              <w:snapToGrid w:val="0"/>
              <w:spacing w:before="0" w:beforeAutospacing="0" w:after="0" w:afterAutospacing="0" w:line="300" w:lineRule="exact"/>
              <w:ind w:left="0" w:right="0"/>
              <w:jc w:val="right"/>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 xml:space="preserve">单位（盖公章） </w:t>
            </w:r>
          </w:p>
          <w:p>
            <w:pPr>
              <w:keepNext w:val="0"/>
              <w:keepLines w:val="0"/>
              <w:widowControl w:val="0"/>
              <w:suppressLineNumbers w:val="0"/>
              <w:adjustRightInd w:val="0"/>
              <w:snapToGrid w:val="0"/>
              <w:spacing w:before="0" w:beforeAutospacing="0" w:after="0" w:afterAutospacing="0" w:line="300" w:lineRule="exact"/>
              <w:ind w:left="0" w:right="0"/>
              <w:jc w:val="right"/>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市级管理单位</w:t>
            </w:r>
          </w:p>
          <w:p>
            <w:pPr>
              <w:keepNext w:val="0"/>
              <w:keepLines w:val="0"/>
              <w:widowControl w:val="0"/>
              <w:suppressLineNumbers w:val="0"/>
              <w:adjustRightInd w:val="0"/>
              <w:snapToGrid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审核意见</w:t>
            </w:r>
          </w:p>
        </w:tc>
        <w:tc>
          <w:tcPr>
            <w:tcW w:w="7200" w:type="dxa"/>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300" w:lineRule="exact"/>
              <w:ind w:left="0" w:right="0"/>
              <w:jc w:val="right"/>
              <w:rPr>
                <w:rFonts w:hint="eastAsia" w:ascii="方正书宋_GBK" w:hAnsi="方正书宋_GBK" w:eastAsia="方正书宋_GBK" w:cs="方正书宋_GBK"/>
                <w:color w:val="000000"/>
                <w:sz w:val="21"/>
                <w:szCs w:val="21"/>
                <w:bdr w:val="none" w:color="auto" w:sz="0" w:space="0"/>
                <w:lang w:val="en-US"/>
              </w:rPr>
            </w:pPr>
          </w:p>
          <w:p>
            <w:pPr>
              <w:keepNext w:val="0"/>
              <w:keepLines w:val="0"/>
              <w:widowControl w:val="0"/>
              <w:suppressLineNumbers w:val="0"/>
              <w:adjustRightInd w:val="0"/>
              <w:snapToGrid w:val="0"/>
              <w:spacing w:before="0" w:beforeAutospacing="0" w:after="0" w:afterAutospacing="0" w:line="300" w:lineRule="exact"/>
              <w:ind w:left="0" w:right="0"/>
              <w:jc w:val="right"/>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 xml:space="preserve">单位（盖公章） </w:t>
            </w:r>
          </w:p>
          <w:p>
            <w:pPr>
              <w:keepNext w:val="0"/>
              <w:keepLines w:val="0"/>
              <w:widowControl w:val="0"/>
              <w:suppressLineNumbers w:val="0"/>
              <w:adjustRightInd w:val="0"/>
              <w:snapToGrid w:val="0"/>
              <w:spacing w:before="0" w:beforeAutospacing="0" w:after="0" w:afterAutospacing="0" w:line="300" w:lineRule="exact"/>
              <w:ind w:left="0" w:right="0"/>
              <w:jc w:val="right"/>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自治区级管理单位审批意见</w:t>
            </w:r>
          </w:p>
        </w:tc>
        <w:tc>
          <w:tcPr>
            <w:tcW w:w="7200" w:type="dxa"/>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p>
          <w:p>
            <w:pPr>
              <w:keepNext w:val="0"/>
              <w:keepLines w:val="0"/>
              <w:widowControl w:val="0"/>
              <w:suppressLineNumbers w:val="0"/>
              <w:adjustRightInd w:val="0"/>
              <w:snapToGrid w:val="0"/>
              <w:spacing w:before="0" w:beforeAutospacing="0" w:after="0" w:afterAutospacing="0" w:line="300" w:lineRule="exact"/>
              <w:ind w:left="0" w:right="0"/>
              <w:jc w:val="right"/>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单位（盖公章）</w:t>
            </w:r>
          </w:p>
          <w:p>
            <w:pPr>
              <w:keepNext w:val="0"/>
              <w:keepLines w:val="0"/>
              <w:widowControl w:val="0"/>
              <w:suppressLineNumbers w:val="0"/>
              <w:adjustRightInd w:val="0"/>
              <w:snapToGrid w:val="0"/>
              <w:spacing w:before="0" w:beforeAutospacing="0" w:after="0" w:afterAutospacing="0" w:line="300" w:lineRule="exact"/>
              <w:ind w:left="0" w:right="0"/>
              <w:jc w:val="right"/>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0"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正式运营时间</w:t>
            </w:r>
          </w:p>
        </w:tc>
        <w:tc>
          <w:tcPr>
            <w:tcW w:w="12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firstLine="3570" w:firstLineChars="170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关</w:t>
            </w:r>
          </w:p>
        </w:tc>
        <w:tc>
          <w:tcPr>
            <w:tcW w:w="167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关注量/粉丝量</w:t>
            </w:r>
          </w:p>
        </w:tc>
        <w:tc>
          <w:tcPr>
            <w:tcW w:w="9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firstLine="3570" w:firstLineChars="1700"/>
              <w:jc w:val="center"/>
              <w:rPr>
                <w:rFonts w:hint="eastAsia" w:ascii="方正书宋_GBK" w:hAnsi="方正书宋_GBK" w:eastAsia="方正书宋_GBK" w:cs="方正书宋_GBK"/>
                <w:color w:val="000000"/>
                <w:sz w:val="21"/>
                <w:szCs w:val="21"/>
                <w:bdr w:val="none" w:color="auto" w:sz="0" w:space="0"/>
                <w:lang w:val="en-US"/>
              </w:rPr>
            </w:pPr>
          </w:p>
        </w:tc>
        <w:tc>
          <w:tcPr>
            <w:tcW w:w="1228"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运行状态</w:t>
            </w:r>
          </w:p>
        </w:tc>
        <w:tc>
          <w:tcPr>
            <w:tcW w:w="210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color w:val="000000"/>
                <w:sz w:val="21"/>
                <w:szCs w:val="21"/>
                <w:bdr w:val="none" w:color="auto" w:sz="0" w:space="0"/>
                <w:lang w:val="en-US"/>
              </w:rPr>
            </w:pPr>
            <w:r>
              <w:rPr>
                <w:rFonts w:hint="eastAsia" w:ascii="方正书宋_GBK" w:hAnsi="方正书宋_GBK" w:eastAsia="方正书宋_GBK" w:cs="方正书宋_GBK"/>
                <w:color w:val="000000"/>
                <w:kern w:val="2"/>
                <w:sz w:val="21"/>
                <w:szCs w:val="21"/>
                <w:bdr w:val="none" w:color="auto" w:sz="0" w:space="0"/>
                <w:lang w:val="en-US" w:eastAsia="zh-CN" w:bidi="ar"/>
              </w:rPr>
              <w:t>□正常   □暂停    □注销   □关停</w:t>
            </w:r>
          </w:p>
        </w:tc>
      </w:tr>
    </w:tbl>
    <w:p>
      <w:pPr>
        <w:pStyle w:val="9"/>
        <w:widowControl/>
        <w:autoSpaceDE/>
        <w:autoSpaceDN w:val="0"/>
        <w:snapToGrid w:val="0"/>
        <w:spacing w:before="123" w:beforeLines="30" w:beforeAutospacing="0" w:line="340" w:lineRule="exact"/>
        <w:jc w:val="both"/>
        <w:rPr>
          <w:lang w:val="en-US"/>
        </w:rPr>
      </w:pPr>
      <w:r>
        <w:rPr>
          <w:rFonts w:hint="eastAsia" w:ascii="方正仿宋_GBK" w:hAnsi="方正仿宋_GBK" w:eastAsia="方正仿宋_GBK" w:cs="方正仿宋_GBK"/>
          <w:szCs w:val="21"/>
          <w:lang w:eastAsia="zh-CN"/>
        </w:rPr>
        <w:t>填报单位：</w:t>
      </w:r>
      <w:r>
        <w:rPr>
          <w:rFonts w:hint="eastAsia" w:ascii="方正仿宋_GBK" w:hAnsi="方正仿宋_GBK" w:eastAsia="方正仿宋_GBK" w:cs="方正仿宋_GBK"/>
          <w:szCs w:val="21"/>
          <w:lang w:val="en-US"/>
        </w:rPr>
        <w:t xml:space="preserve">                               </w:t>
      </w:r>
      <w:r>
        <w:rPr>
          <w:rFonts w:hint="eastAsia" w:ascii="方正仿宋_GBK" w:hAnsi="方正仿宋_GBK" w:eastAsia="方正仿宋_GBK" w:cs="方正仿宋_GBK"/>
          <w:szCs w:val="21"/>
          <w:lang w:eastAsia="zh-CN"/>
        </w:rPr>
        <w:t>填表时间：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宋体">
    <w:panose1 w:val="02010600030101010101"/>
    <w:charset w:val="86"/>
    <w:family w:val="auto"/>
    <w:pitch w:val="variable"/>
    <w:sig w:usb0="00000003" w:usb1="288F0000" w:usb2="00000006" w:usb3="00000000" w:csb0="00040001" w:csb1="00000000"/>
  </w:font>
  <w:font w:name="@方正小标宋_GBK">
    <w:altName w:val="宋体"/>
    <w:panose1 w:val="00000000000000000000"/>
    <w:charset w:val="86"/>
    <w:family w:val="auto"/>
    <w:pitch w:val="default"/>
    <w:sig w:usb0="00000000" w:usb1="00000000" w:usb2="00000000" w:usb3="00000000" w:csb0="00040000" w:csb1="00000000"/>
  </w:font>
  <w:font w:name="方正小标宋_GBK">
    <w:altName w:val="Arial Unicode MS"/>
    <w:panose1 w:val="00000000000000000000"/>
    <w:charset w:val="86"/>
    <w:family w:val="auto"/>
    <w:pitch w:val="default"/>
    <w:sig w:usb0="00000000" w:usb1="00000000" w:usb2="00000000" w:usb3="00000000" w:csb0="00040000" w:csb1="00000000"/>
  </w:font>
  <w:font w:name="@方正黑体_GBK">
    <w:altName w:val="黑体"/>
    <w:panose1 w:val="00000000000000000000"/>
    <w:charset w:val="86"/>
    <w:family w:val="auto"/>
    <w:pitch w:val="default"/>
    <w:sig w:usb0="00000000" w:usb1="0000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方正书宋_GBK">
    <w:altName w:val="微软雅黑"/>
    <w:panose1 w:val="00000000000000000000"/>
    <w:charset w:val="86"/>
    <w:family w:val="auto"/>
    <w:pitch w:val="default"/>
    <w:sig w:usb0="00000000" w:usb1="00000000" w:usb2="00000000" w:usb3="00000000" w:csb0="00040000" w:csb1="00000000"/>
  </w:font>
  <w:font w:name="方正仿宋_GBK">
    <w:altName w:val="Arial Unicode MS"/>
    <w:panose1 w:val="00000000000000000000"/>
    <w:charset w:val="86"/>
    <w:family w:val="auto"/>
    <w:pitch w:val="default"/>
    <w:sig w:usb0="00000000" w:usb1="080E0000" w:usb2="00000000" w:usb3="00000000" w:csb0="00040000" w:csb1="00000000"/>
  </w:font>
  <w:font w:name="@方正书宋_GBK">
    <w:altName w:val="宋体"/>
    <w:panose1 w:val="00000000000000000000"/>
    <w:charset w:val="86"/>
    <w:family w:val="auto"/>
    <w:pitch w:val="default"/>
    <w:sig w:usb0="00000000" w:usb1="00000000" w:usb2="00000000" w:usb3="00000000" w:csb0="00040000" w:csb1="00000000"/>
  </w:font>
  <w:font w:name="@方正仿宋_GBK">
    <w:altName w:val="仿宋"/>
    <w:panose1 w:val="00000000000000000000"/>
    <w:charset w:val="86"/>
    <w:family w:val="auto"/>
    <w:pitch w:val="default"/>
    <w:sig w:usb0="00000000"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76D8B"/>
    <w:rsid w:val="32614B0F"/>
    <w:rsid w:val="759908EA"/>
    <w:rsid w:val="7F076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kern w:val="44"/>
      <w:sz w:val="24"/>
      <w:szCs w:val="24"/>
      <w:lang w:val="en-US" w:eastAsia="zh-CN" w:bidi="ar"/>
    </w:rPr>
  </w:style>
  <w:style w:type="character" w:default="1" w:styleId="5">
    <w:name w:val="Default Paragraph Font"/>
    <w:semiHidden/>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Hyperlink"/>
    <w:basedOn w:val="5"/>
    <w:uiPriority w:val="0"/>
    <w:rPr>
      <w:color w:val="333333"/>
      <w:u w:val="none"/>
    </w:rPr>
  </w:style>
  <w:style w:type="paragraph" w:customStyle="1" w:styleId="9">
    <w:name w:val="Default"/>
    <w:basedOn w:val="1"/>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eastAsia" w:ascii="宋体" w:hAnsi="Calibri" w:eastAsia="宋体" w:cs="宋体"/>
      <w:color w:val="000000"/>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2020-03-10T09:30:00Z</dcterms:created>
  <dc:creator>admin</dc:creator>
  <cp:lastModifiedBy>admin</cp:lastModifiedBy>
  <dcterms:modified xsi:type="dcterms:W3CDTF">2020-03-10T09:33:08Z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